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BE67E" w14:textId="77777777" w:rsidR="00CF6A99" w:rsidRDefault="00CF6A99" w:rsidP="00CF6A99">
      <w:pPr>
        <w:jc w:val="center"/>
      </w:pPr>
    </w:p>
    <w:p w14:paraId="74761A7B" w14:textId="77777777" w:rsidR="00CF6A99" w:rsidRDefault="00CF6A99" w:rsidP="00CF6A99">
      <w:pPr>
        <w:jc w:val="center"/>
      </w:pPr>
    </w:p>
    <w:p w14:paraId="71E2CF0D" w14:textId="77777777" w:rsidR="00CF6A99" w:rsidRDefault="00CF6A99" w:rsidP="00CF6A99">
      <w:pPr>
        <w:jc w:val="center"/>
      </w:pPr>
    </w:p>
    <w:p w14:paraId="252E14FE" w14:textId="77777777" w:rsidR="00CF6A99" w:rsidRDefault="00CF6A99" w:rsidP="00CF6A99">
      <w:pPr>
        <w:jc w:val="center"/>
      </w:pPr>
      <w:r>
        <w:rPr>
          <w:noProof/>
          <w:lang w:eastAsia="es-MX"/>
        </w:rPr>
        <mc:AlternateContent>
          <mc:Choice Requires="wps">
            <w:drawing>
              <wp:anchor distT="0" distB="0" distL="114300" distR="114300" simplePos="0" relativeHeight="251651584" behindDoc="0" locked="0" layoutInCell="1" allowOverlap="1" wp14:anchorId="60B3D012" wp14:editId="6D422F68">
                <wp:simplePos x="0" y="0"/>
                <wp:positionH relativeFrom="column">
                  <wp:posOffset>434340</wp:posOffset>
                </wp:positionH>
                <wp:positionV relativeFrom="paragraph">
                  <wp:posOffset>90805</wp:posOffset>
                </wp:positionV>
                <wp:extent cx="5638800" cy="1885315"/>
                <wp:effectExtent l="0" t="0" r="0" b="635"/>
                <wp:wrapNone/>
                <wp:docPr id="1" name="1 Cuadro de texto"/>
                <wp:cNvGraphicFramePr/>
                <a:graphic xmlns:a="http://schemas.openxmlformats.org/drawingml/2006/main">
                  <a:graphicData uri="http://schemas.microsoft.com/office/word/2010/wordprocessingShape">
                    <wps:wsp>
                      <wps:cNvSpPr txBox="1"/>
                      <wps:spPr>
                        <a:xfrm>
                          <a:off x="0" y="0"/>
                          <a:ext cx="5638800" cy="1885315"/>
                        </a:xfrm>
                        <a:prstGeom prst="rect">
                          <a:avLst/>
                        </a:prstGeom>
                        <a:noFill/>
                        <a:ln>
                          <a:noFill/>
                        </a:ln>
                        <a:effectLst/>
                      </wps:spPr>
                      <wps:txbx>
                        <w:txbxContent>
                          <w:p w14:paraId="6EAF6E74" w14:textId="77777777" w:rsidR="00A1098C" w:rsidRPr="00CF6A99" w:rsidRDefault="00A1098C" w:rsidP="00CF6A99">
                            <w:pPr>
                              <w:jc w:val="center"/>
                              <w:rPr>
                                <w:rFonts w:eastAsiaTheme="minorHAnsi"/>
                                <w:b/>
                                <w:color w:val="498CF1" w:themeColor="background2" w:themeShade="BF"/>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accent2">
                                      <w14:lumMod w14:val="75000"/>
                                    </w14:schemeClr>
                                  </w14:solidFill>
                                  <w14:prstDash w14:val="solid"/>
                                  <w14:round/>
                                </w14:textOutline>
                              </w:rPr>
                            </w:pPr>
                            <w:r w:rsidRPr="00CF6A99">
                              <w:rPr>
                                <w:b/>
                                <w:color w:val="498CF1" w:themeColor="background2" w:themeShade="BF"/>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accent2">
                                      <w14:lumMod w14:val="75000"/>
                                    </w14:schemeClr>
                                  </w14:solidFill>
                                  <w14:prstDash w14:val="solid"/>
                                  <w14:round/>
                                </w14:textOutline>
                              </w:rPr>
                              <w:t>Notas a los Estados Financieros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3D012" id="_x0000_t202" coordsize="21600,21600" o:spt="202" path="m,l,21600r21600,l21600,xe">
                <v:stroke joinstyle="miter"/>
                <v:path gradientshapeok="t" o:connecttype="rect"/>
              </v:shapetype>
              <v:shape id="1 Cuadro de texto" o:spid="_x0000_s1026" type="#_x0000_t202" style="position:absolute;left:0;text-align:left;margin-left:34.2pt;margin-top:7.15pt;width:444pt;height:148.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" filled="f" stroked="f">
                <v:textbox>
                  <w:txbxContent>
                    <w:p w14:paraId="6EAF6E74" w14:textId="77777777" w:rsidR="00A1098C" w:rsidRPr="00CF6A99" w:rsidRDefault="00A1098C" w:rsidP="00CF6A99">
                      <w:pPr>
                        <w:jc w:val="center"/>
                        <w:rPr>
                          <w:rFonts w:eastAsiaTheme="minorHAnsi"/>
                          <w:b/>
                          <w:color w:val="498CF1" w:themeColor="background2" w:themeShade="BF"/>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accent2">
                                <w14:lumMod w14:val="75000"/>
                              </w14:schemeClr>
                            </w14:solidFill>
                            <w14:prstDash w14:val="solid"/>
                            <w14:round/>
                          </w14:textOutline>
                        </w:rPr>
                      </w:pPr>
                      <w:r w:rsidRPr="00CF6A99">
                        <w:rPr>
                          <w:b/>
                          <w:color w:val="498CF1" w:themeColor="background2" w:themeShade="BF"/>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accent2">
                                <w14:lumMod w14:val="75000"/>
                              </w14:schemeClr>
                            </w14:solidFill>
                            <w14:prstDash w14:val="solid"/>
                            <w14:round/>
                          </w14:textOutline>
                        </w:rPr>
                        <w:t>Notas a los Estados Financieros</w:t>
                      </w:r>
                    </w:p>
                  </w:txbxContent>
                </v:textbox>
              </v:shape>
            </w:pict>
          </mc:Fallback>
        </mc:AlternateContent>
      </w:r>
    </w:p>
    <w:p w14:paraId="73E82412" w14:textId="77777777" w:rsidR="00CF6A99" w:rsidRDefault="00CF6A99" w:rsidP="00CF6A99">
      <w:pPr>
        <w:jc w:val="center"/>
      </w:pPr>
    </w:p>
    <w:p w14:paraId="2BBCB18A" w14:textId="77777777" w:rsidR="00CF6A99" w:rsidRDefault="00CF6A99" w:rsidP="00CF6A99">
      <w:pPr>
        <w:jc w:val="center"/>
      </w:pPr>
    </w:p>
    <w:p w14:paraId="00F3BD4C" w14:textId="77777777" w:rsidR="00CF6A99" w:rsidRDefault="00CF6A99" w:rsidP="00CF6A99">
      <w:pPr>
        <w:jc w:val="center"/>
      </w:pPr>
    </w:p>
    <w:p w14:paraId="21B1CEFF" w14:textId="77777777" w:rsidR="00CF6A99" w:rsidRDefault="00CF6A99" w:rsidP="00CF6A99">
      <w:pPr>
        <w:jc w:val="center"/>
      </w:pPr>
    </w:p>
    <w:p w14:paraId="3D5EE3EE" w14:textId="77777777" w:rsidR="00CF6A99" w:rsidRDefault="00CF6A99" w:rsidP="00CF6A99">
      <w:pPr>
        <w:jc w:val="center"/>
      </w:pPr>
    </w:p>
    <w:p w14:paraId="7C5AF7E3" w14:textId="77777777" w:rsidR="00CF6A99" w:rsidRDefault="00CF6A99" w:rsidP="00CF6A99">
      <w:pPr>
        <w:jc w:val="center"/>
      </w:pPr>
    </w:p>
    <w:p w14:paraId="48E4C07E" w14:textId="77777777" w:rsidR="00CF6A99" w:rsidRDefault="00CF6A99" w:rsidP="00CF6A99">
      <w:pPr>
        <w:jc w:val="center"/>
      </w:pPr>
    </w:p>
    <w:p w14:paraId="0AB97386" w14:textId="77777777" w:rsidR="00CF6A99" w:rsidRDefault="005B4D16" w:rsidP="00CF6A99">
      <w:pPr>
        <w:jc w:val="center"/>
      </w:pPr>
      <w:r>
        <w:rPr>
          <w:noProof/>
          <w:lang w:eastAsia="es-MX"/>
        </w:rPr>
        <mc:AlternateContent>
          <mc:Choice Requires="wps">
            <w:drawing>
              <wp:anchor distT="0" distB="0" distL="114300" distR="114300" simplePos="0" relativeHeight="251657728" behindDoc="0" locked="0" layoutInCell="1" allowOverlap="1" wp14:anchorId="1F21A610" wp14:editId="68EC8243">
                <wp:simplePos x="0" y="0"/>
                <wp:positionH relativeFrom="column">
                  <wp:posOffset>62865</wp:posOffset>
                </wp:positionH>
                <wp:positionV relativeFrom="paragraph">
                  <wp:posOffset>41910</wp:posOffset>
                </wp:positionV>
                <wp:extent cx="6610350" cy="1828800"/>
                <wp:effectExtent l="0" t="0" r="0" b="3810"/>
                <wp:wrapNone/>
                <wp:docPr id="9" name="9 Cuadro de texto"/>
                <wp:cNvGraphicFramePr/>
                <a:graphic xmlns:a="http://schemas.openxmlformats.org/drawingml/2006/main">
                  <a:graphicData uri="http://schemas.microsoft.com/office/word/2010/wordprocessingShape">
                    <wps:wsp>
                      <wps:cNvSpPr txBox="1"/>
                      <wps:spPr>
                        <a:xfrm>
                          <a:off x="0" y="0"/>
                          <a:ext cx="6610350" cy="1828800"/>
                        </a:xfrm>
                        <a:prstGeom prst="rect">
                          <a:avLst/>
                        </a:prstGeom>
                        <a:noFill/>
                        <a:ln>
                          <a:noFill/>
                        </a:ln>
                        <a:effectLst/>
                      </wps:spPr>
                      <wps:txbx>
                        <w:txbxContent>
                          <w:p w14:paraId="74866671" w14:textId="4EED1CD4" w:rsidR="00A1098C" w:rsidRPr="00CF6A99" w:rsidRDefault="008A2678" w:rsidP="005B4D16">
                            <w:pPr>
                              <w:jc w:val="center"/>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pPr>
                            <w:r>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t>Diciem</w:t>
                            </w:r>
                            <w:r w:rsidR="00432DE7">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t>bre</w:t>
                            </w:r>
                            <w:r w:rsidR="00A1098C">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anchor>
            </w:drawing>
          </mc:Choice>
          <mc:Fallback>
            <w:pict>
              <v:shape w14:anchorId="1F21A610" id="9 Cuadro de texto" o:spid="_x0000_s1027" type="#_x0000_t202" style="position:absolute;left:0;text-align:left;margin-left:4.95pt;margin-top:3.3pt;width:520.5pt;height:2in;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" filled="f" stroked="f">
                <v:textbox style="mso-fit-shape-to-text:t">
                  <w:txbxContent>
                    <w:p w14:paraId="74866671" w14:textId="4EED1CD4" w:rsidR="00A1098C" w:rsidRPr="00CF6A99" w:rsidRDefault="008A2678" w:rsidP="005B4D16">
                      <w:pPr>
                        <w:jc w:val="center"/>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pPr>
                      <w:r>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t>Diciem</w:t>
                      </w:r>
                      <w:r w:rsidR="00432DE7">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t>bre</w:t>
                      </w:r>
                      <w:r w:rsidR="00A1098C">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t xml:space="preserve"> 2022</w:t>
                      </w:r>
                    </w:p>
                  </w:txbxContent>
                </v:textbox>
              </v:shape>
            </w:pict>
          </mc:Fallback>
        </mc:AlternateContent>
      </w:r>
    </w:p>
    <w:p w14:paraId="079195AE" w14:textId="77777777" w:rsidR="00CF6A99" w:rsidRDefault="00CF6A99" w:rsidP="00CF6A99">
      <w:pPr>
        <w:jc w:val="center"/>
      </w:pPr>
    </w:p>
    <w:p w14:paraId="7727D7F3" w14:textId="77777777" w:rsidR="00CF6A99" w:rsidRDefault="00CF6A99" w:rsidP="00CF6A99">
      <w:pPr>
        <w:jc w:val="center"/>
      </w:pPr>
    </w:p>
    <w:p w14:paraId="4E9477C4" w14:textId="77777777" w:rsidR="00CF6A99" w:rsidRDefault="00CF6A99" w:rsidP="00CF6A99">
      <w:pPr>
        <w:jc w:val="center"/>
      </w:pPr>
    </w:p>
    <w:p w14:paraId="30C38906" w14:textId="77777777" w:rsidR="00CF6A99" w:rsidRDefault="00CF6A99" w:rsidP="00CF6A99">
      <w:pPr>
        <w:jc w:val="center"/>
      </w:pPr>
    </w:p>
    <w:p w14:paraId="586C7775" w14:textId="77777777" w:rsidR="00CF6A99" w:rsidRDefault="00CF6A99" w:rsidP="00CF6A99">
      <w:pPr>
        <w:jc w:val="center"/>
      </w:pPr>
    </w:p>
    <w:p w14:paraId="542F99E5" w14:textId="77777777" w:rsidR="00CF6A99" w:rsidRDefault="005B4D16" w:rsidP="00CF6A99">
      <w:pPr>
        <w:jc w:val="center"/>
      </w:pPr>
      <w:r>
        <w:rPr>
          <w:noProof/>
          <w:lang w:eastAsia="es-MX"/>
        </w:rPr>
        <mc:AlternateContent>
          <mc:Choice Requires="wps">
            <w:drawing>
              <wp:anchor distT="0" distB="0" distL="114300" distR="114300" simplePos="0" relativeHeight="251653632" behindDoc="0" locked="0" layoutInCell="1" allowOverlap="1" wp14:anchorId="544E24FF" wp14:editId="54EE309D">
                <wp:simplePos x="0" y="0"/>
                <wp:positionH relativeFrom="column">
                  <wp:posOffset>-89535</wp:posOffset>
                </wp:positionH>
                <wp:positionV relativeFrom="paragraph">
                  <wp:posOffset>158750</wp:posOffset>
                </wp:positionV>
                <wp:extent cx="6610350" cy="1828800"/>
                <wp:effectExtent l="0" t="0" r="0" b="3810"/>
                <wp:wrapNone/>
                <wp:docPr id="2" name="2 Cuadro de texto"/>
                <wp:cNvGraphicFramePr/>
                <a:graphic xmlns:a="http://schemas.openxmlformats.org/drawingml/2006/main">
                  <a:graphicData uri="http://schemas.microsoft.com/office/word/2010/wordprocessingShape">
                    <wps:wsp>
                      <wps:cNvSpPr txBox="1"/>
                      <wps:spPr>
                        <a:xfrm>
                          <a:off x="0" y="0"/>
                          <a:ext cx="6610350" cy="1828800"/>
                        </a:xfrm>
                        <a:prstGeom prst="rect">
                          <a:avLst/>
                        </a:prstGeom>
                        <a:noFill/>
                        <a:ln>
                          <a:noFill/>
                        </a:ln>
                        <a:effectLst/>
                      </wps:spPr>
                      <wps:txbx>
                        <w:txbxContent>
                          <w:p w14:paraId="3519B165" w14:textId="77777777" w:rsidR="00A1098C" w:rsidRPr="00CF6A99" w:rsidRDefault="00A1098C" w:rsidP="00CF6A99">
                            <w:pPr>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pPr>
                            <w:r w:rsidRPr="00CF6A99">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t>Municipio de Mérida Yucatán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anchor>
            </w:drawing>
          </mc:Choice>
          <mc:Fallback>
            <w:pict>
              <v:shape w14:anchorId="544E24FF" id="2 Cuadro de texto" o:spid="_x0000_s1028" type="#_x0000_t202" style="position:absolute;left:0;text-align:left;margin-left:-7.05pt;margin-top:12.5pt;width:520.5pt;height:2in;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" filled="f" stroked="f">
                <v:textbox style="mso-fit-shape-to-text:t">
                  <w:txbxContent>
                    <w:p w14:paraId="3519B165" w14:textId="77777777" w:rsidR="00A1098C" w:rsidRPr="00CF6A99" w:rsidRDefault="00A1098C" w:rsidP="00CF6A99">
                      <w:pPr>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pPr>
                      <w:r w:rsidRPr="00CF6A99">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t>Municipio de Mérida Yucatán</w:t>
                      </w:r>
                    </w:p>
                  </w:txbxContent>
                </v:textbox>
              </v:shape>
            </w:pict>
          </mc:Fallback>
        </mc:AlternateContent>
      </w:r>
    </w:p>
    <w:p w14:paraId="412FD097" w14:textId="77777777" w:rsidR="00CF6A99" w:rsidRDefault="00CF6A99" w:rsidP="00CF6A99">
      <w:pPr>
        <w:jc w:val="center"/>
      </w:pPr>
    </w:p>
    <w:p w14:paraId="626207FF" w14:textId="77777777" w:rsidR="00CF6A99" w:rsidRDefault="00CF6A99" w:rsidP="00CF6A99">
      <w:pPr>
        <w:jc w:val="center"/>
      </w:pPr>
    </w:p>
    <w:p w14:paraId="65D9A4FD" w14:textId="77777777" w:rsidR="00321551" w:rsidRDefault="00321551" w:rsidP="00CF6A99">
      <w:pPr>
        <w:jc w:val="center"/>
      </w:pPr>
    </w:p>
    <w:p w14:paraId="699B7891" w14:textId="77777777" w:rsidR="00321551" w:rsidRDefault="00321551" w:rsidP="00CF6A99">
      <w:pPr>
        <w:jc w:val="center"/>
      </w:pPr>
    </w:p>
    <w:p w14:paraId="0C6D39C8" w14:textId="77777777" w:rsidR="00CF6A99" w:rsidRDefault="00CF6A99" w:rsidP="00CF6A99">
      <w:pPr>
        <w:jc w:val="center"/>
      </w:pPr>
    </w:p>
    <w:p w14:paraId="554E5EBC" w14:textId="77777777" w:rsidR="00CF6A99" w:rsidRDefault="00CF6A99" w:rsidP="00CF6A99">
      <w:pPr>
        <w:jc w:val="center"/>
      </w:pPr>
    </w:p>
    <w:p w14:paraId="3A952B2A" w14:textId="77777777" w:rsidR="00CF6A99" w:rsidRDefault="00CF6A99" w:rsidP="00CF6A99">
      <w:pPr>
        <w:jc w:val="center"/>
      </w:pPr>
    </w:p>
    <w:p w14:paraId="07A5AE12" w14:textId="77777777" w:rsidR="009E3D9F" w:rsidRDefault="009E3D9F" w:rsidP="00CF6A99">
      <w:pPr>
        <w:jc w:val="center"/>
      </w:pPr>
      <w:r>
        <w:rPr>
          <w:b/>
          <w:noProof/>
          <w:sz w:val="24"/>
          <w:szCs w:val="24"/>
          <w:lang w:eastAsia="es-MX"/>
        </w:rPr>
        <w:lastRenderedPageBreak/>
        <mc:AlternateContent>
          <mc:Choice Requires="wps">
            <w:drawing>
              <wp:anchor distT="0" distB="0" distL="114300" distR="114300" simplePos="0" relativeHeight="251654656" behindDoc="0" locked="0" layoutInCell="1" allowOverlap="1" wp14:anchorId="50CBD90A" wp14:editId="375244F4">
                <wp:simplePos x="0" y="0"/>
                <wp:positionH relativeFrom="column">
                  <wp:posOffset>358140</wp:posOffset>
                </wp:positionH>
                <wp:positionV relativeFrom="paragraph">
                  <wp:posOffset>82550</wp:posOffset>
                </wp:positionV>
                <wp:extent cx="5200650" cy="438150"/>
                <wp:effectExtent l="0" t="0" r="19050" b="19050"/>
                <wp:wrapNone/>
                <wp:docPr id="4" name="4 Rectángulo redondeado"/>
                <wp:cNvGraphicFramePr/>
                <a:graphic xmlns:a="http://schemas.openxmlformats.org/drawingml/2006/main">
                  <a:graphicData uri="http://schemas.microsoft.com/office/word/2010/wordprocessingShape">
                    <wps:wsp>
                      <wps:cNvSpPr/>
                      <wps:spPr>
                        <a:xfrm>
                          <a:off x="0" y="0"/>
                          <a:ext cx="5200650" cy="438150"/>
                        </a:xfrm>
                        <a:prstGeom prst="roundRect">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085284" w14:textId="77777777" w:rsidR="00A1098C" w:rsidRPr="00CF6A99" w:rsidRDefault="00A1098C" w:rsidP="00CF6A99">
                            <w:pPr>
                              <w:jc w:val="center"/>
                              <w:rPr>
                                <w:color w:val="000000" w:themeColor="text1"/>
                                <w:sz w:val="32"/>
                                <w:szCs w:val="32"/>
                              </w:rPr>
                            </w:pPr>
                            <w:r w:rsidRPr="00CF6A99">
                              <w:rPr>
                                <w:color w:val="000000" w:themeColor="text1"/>
                                <w:sz w:val="32"/>
                                <w:szCs w:val="32"/>
                              </w:rPr>
                              <w:t>a) NOTAS DE DESGLOSE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0CBD90A" id="4 Rectángulo redondeado" o:spid="_x0000_s1029" style="position:absolute;left:0;text-align:left;margin-left:28.2pt;margin-top:6.5pt;width:409.5pt;height:34.5pt;z-index:2516546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" fillcolor="#cbd2dc [1302]" strokecolor="#224e76 [1604]" strokeweight="2pt">
                <v:textbox>
                  <w:txbxContent>
                    <w:p w14:paraId="54085284" w14:textId="77777777" w:rsidR="00A1098C" w:rsidRPr="00CF6A99" w:rsidRDefault="00A1098C" w:rsidP="00CF6A99">
                      <w:pPr>
                        <w:jc w:val="center"/>
                        <w:rPr>
                          <w:color w:val="000000" w:themeColor="text1"/>
                          <w:sz w:val="32"/>
                          <w:szCs w:val="32"/>
                        </w:rPr>
                      </w:pPr>
                      <w:r w:rsidRPr="00CF6A99">
                        <w:rPr>
                          <w:color w:val="000000" w:themeColor="text1"/>
                          <w:sz w:val="32"/>
                          <w:szCs w:val="32"/>
                        </w:rPr>
                        <w:t>a) NOTAS DE DESGLOSE</w:t>
                      </w:r>
                    </w:p>
                  </w:txbxContent>
                </v:textbox>
              </v:roundrect>
            </w:pict>
          </mc:Fallback>
        </mc:AlternateContent>
      </w:r>
    </w:p>
    <w:p w14:paraId="7A13AAC6" w14:textId="77777777" w:rsidR="009E3D9F" w:rsidRDefault="009E3D9F" w:rsidP="006C20FE"/>
    <w:p w14:paraId="5F8B5DA5" w14:textId="77777777" w:rsidR="006C20FE" w:rsidRDefault="006C20FE" w:rsidP="006C20FE"/>
    <w:p w14:paraId="00947C8E" w14:textId="77777777" w:rsidR="00CF6A99" w:rsidRDefault="00CF6A99" w:rsidP="003D31FD">
      <w:pPr>
        <w:pStyle w:val="Sinespaciado"/>
        <w:numPr>
          <w:ilvl w:val="0"/>
          <w:numId w:val="23"/>
        </w:numPr>
        <w:rPr>
          <w:rFonts w:ascii="Arial" w:hAnsi="Arial" w:cs="Arial"/>
          <w:b/>
          <w:sz w:val="28"/>
          <w:szCs w:val="28"/>
        </w:rPr>
      </w:pPr>
      <w:r w:rsidRPr="009E3D9F">
        <w:rPr>
          <w:rFonts w:ascii="Arial" w:hAnsi="Arial" w:cs="Arial"/>
          <w:b/>
          <w:sz w:val="28"/>
          <w:szCs w:val="28"/>
        </w:rPr>
        <w:t>Notas al Estado de Situación Financiera</w:t>
      </w:r>
    </w:p>
    <w:p w14:paraId="5B7AFF7E" w14:textId="77777777" w:rsidR="003D31FD" w:rsidRPr="009E3D9F" w:rsidRDefault="003D31FD" w:rsidP="003D31FD">
      <w:pPr>
        <w:pStyle w:val="Sinespaciado"/>
        <w:tabs>
          <w:tab w:val="left" w:pos="1134"/>
        </w:tabs>
        <w:ind w:left="1080"/>
        <w:rPr>
          <w:rFonts w:ascii="Arial" w:hAnsi="Arial" w:cs="Arial"/>
          <w:b/>
          <w:sz w:val="28"/>
          <w:szCs w:val="28"/>
        </w:rPr>
      </w:pPr>
    </w:p>
    <w:p w14:paraId="18A86F8D" w14:textId="77777777" w:rsidR="009E3D9F" w:rsidRPr="00334DF9" w:rsidRDefault="009E3D9F" w:rsidP="00CF6A99">
      <w:pPr>
        <w:pStyle w:val="Texto"/>
        <w:spacing w:after="80" w:line="203" w:lineRule="exact"/>
        <w:rPr>
          <w:b/>
          <w:smallCaps/>
          <w:szCs w:val="18"/>
        </w:rPr>
      </w:pPr>
    </w:p>
    <w:p w14:paraId="10CC2CF2" w14:textId="77777777" w:rsidR="00CF6A99" w:rsidRPr="008A2678" w:rsidRDefault="00CF6A99" w:rsidP="00CF6A99">
      <w:pPr>
        <w:pStyle w:val="Texto"/>
        <w:spacing w:after="80" w:line="203" w:lineRule="exact"/>
        <w:rPr>
          <w:b/>
          <w:sz w:val="24"/>
          <w:szCs w:val="24"/>
          <w:u w:val="single"/>
          <w:lang w:val="es-MX"/>
        </w:rPr>
      </w:pPr>
      <w:r w:rsidRPr="008A2678">
        <w:rPr>
          <w:b/>
          <w:sz w:val="24"/>
          <w:szCs w:val="24"/>
          <w:u w:val="single"/>
          <w:lang w:val="es-MX"/>
        </w:rPr>
        <w:t>Activo</w:t>
      </w:r>
    </w:p>
    <w:p w14:paraId="03E506A6" w14:textId="7977D424" w:rsidR="00CF6A99" w:rsidRPr="008A2678" w:rsidRDefault="00CF6A99" w:rsidP="008A2678">
      <w:pPr>
        <w:ind w:left="284"/>
        <w:rPr>
          <w:rFonts w:ascii="Arial" w:hAnsi="Arial" w:cs="Arial"/>
          <w:b/>
          <w:bCs/>
        </w:rPr>
      </w:pPr>
      <w:r w:rsidRPr="008A2678">
        <w:rPr>
          <w:rFonts w:ascii="Arial" w:hAnsi="Arial" w:cs="Arial"/>
          <w:b/>
          <w:bCs/>
        </w:rPr>
        <w:t>Efectivo y Equivalentes</w:t>
      </w:r>
    </w:p>
    <w:p w14:paraId="043CD3C4" w14:textId="77777777" w:rsidR="009E3D9F" w:rsidRDefault="009E3D9F" w:rsidP="00CF6A99">
      <w:pPr>
        <w:pStyle w:val="Texto"/>
        <w:spacing w:after="80" w:line="203" w:lineRule="exact"/>
        <w:rPr>
          <w:b/>
          <w:sz w:val="22"/>
          <w:szCs w:val="22"/>
          <w:lang w:val="es-MX"/>
        </w:rPr>
      </w:pPr>
    </w:p>
    <w:p w14:paraId="2C94C84B" w14:textId="77777777" w:rsidR="009E3D9F" w:rsidRDefault="009E3D9F" w:rsidP="0091714F">
      <w:pPr>
        <w:spacing w:line="360" w:lineRule="auto"/>
        <w:ind w:left="426"/>
        <w:jc w:val="both"/>
        <w:rPr>
          <w:rFonts w:ascii="Arial" w:eastAsia="Cambria" w:hAnsi="Arial" w:cs="Arial"/>
          <w:sz w:val="24"/>
          <w:szCs w:val="24"/>
        </w:rPr>
      </w:pPr>
      <w:r w:rsidRPr="003755FD">
        <w:rPr>
          <w:rFonts w:ascii="Arial" w:eastAsia="Cambria" w:hAnsi="Arial" w:cs="Arial"/>
          <w:sz w:val="24"/>
          <w:szCs w:val="24"/>
        </w:rPr>
        <w:t>Los saldos en las cuentas bancarias y los excedentes de efectivo o disponibilidades financieras que se tienen en inversión al cierre del periodo corresponden a depósitos a la vista efectuados en cuentas del sistema financiero integradas como sigue:</w:t>
      </w:r>
    </w:p>
    <w:p w14:paraId="62D4A0AA" w14:textId="30FC7A4C" w:rsidR="006C20FE" w:rsidRPr="003755FD" w:rsidRDefault="00D41366" w:rsidP="0091714F">
      <w:pPr>
        <w:spacing w:line="360" w:lineRule="auto"/>
        <w:ind w:left="426"/>
        <w:jc w:val="both"/>
        <w:rPr>
          <w:rFonts w:ascii="Arial" w:eastAsia="Cambria" w:hAnsi="Arial" w:cs="Arial"/>
          <w:sz w:val="24"/>
          <w:szCs w:val="24"/>
        </w:rPr>
      </w:pPr>
      <w:r w:rsidRPr="00D41366">
        <w:rPr>
          <w:noProof/>
          <w:lang w:eastAsia="es-MX"/>
        </w:rPr>
        <w:drawing>
          <wp:inline distT="0" distB="0" distL="0" distR="0" wp14:anchorId="2D195D25" wp14:editId="57C32710">
            <wp:extent cx="6079702" cy="1698172"/>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0390" cy="1703951"/>
                    </a:xfrm>
                    <a:prstGeom prst="rect">
                      <a:avLst/>
                    </a:prstGeom>
                    <a:noFill/>
                    <a:ln>
                      <a:noFill/>
                    </a:ln>
                  </pic:spPr>
                </pic:pic>
              </a:graphicData>
            </a:graphic>
          </wp:inline>
        </w:drawing>
      </w:r>
    </w:p>
    <w:p w14:paraId="1224752C" w14:textId="4E6DE723" w:rsidR="00A927AC" w:rsidRDefault="00A927AC" w:rsidP="00432DE7">
      <w:pPr>
        <w:spacing w:line="360" w:lineRule="auto"/>
        <w:jc w:val="center"/>
        <w:rPr>
          <w:rFonts w:ascii="Cambria" w:eastAsia="Cambria" w:hAnsi="Cambria" w:cs="Cambria"/>
          <w:sz w:val="24"/>
          <w:szCs w:val="24"/>
        </w:rPr>
      </w:pPr>
    </w:p>
    <w:p w14:paraId="1BAFE38A" w14:textId="065BEAE5" w:rsidR="00D61984" w:rsidRDefault="00D41366" w:rsidP="008B7B44">
      <w:pPr>
        <w:ind w:left="426"/>
        <w:jc w:val="center"/>
        <w:rPr>
          <w:rFonts w:ascii="Cambria" w:eastAsia="Cambria" w:hAnsi="Cambria" w:cs="Cambria"/>
          <w:sz w:val="24"/>
          <w:szCs w:val="24"/>
        </w:rPr>
      </w:pPr>
      <w:r w:rsidRPr="00D41366">
        <w:rPr>
          <w:noProof/>
          <w:lang w:eastAsia="es-MX"/>
        </w:rPr>
        <w:drawing>
          <wp:inline distT="0" distB="0" distL="0" distR="0" wp14:anchorId="0F4F179B" wp14:editId="5A40154E">
            <wp:extent cx="5973289" cy="1791335"/>
            <wp:effectExtent l="0" t="0" r="889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7198" cy="1792507"/>
                    </a:xfrm>
                    <a:prstGeom prst="rect">
                      <a:avLst/>
                    </a:prstGeom>
                    <a:noFill/>
                    <a:ln>
                      <a:noFill/>
                    </a:ln>
                  </pic:spPr>
                </pic:pic>
              </a:graphicData>
            </a:graphic>
          </wp:inline>
        </w:drawing>
      </w:r>
    </w:p>
    <w:p w14:paraId="639099D8" w14:textId="77777777" w:rsidR="0092746E" w:rsidRDefault="0092746E" w:rsidP="00DE559D">
      <w:pPr>
        <w:ind w:left="426"/>
        <w:jc w:val="center"/>
        <w:rPr>
          <w:rFonts w:ascii="Cambria" w:eastAsia="Cambria" w:hAnsi="Cambria" w:cs="Cambria"/>
          <w:sz w:val="24"/>
          <w:szCs w:val="24"/>
        </w:rPr>
      </w:pPr>
    </w:p>
    <w:p w14:paraId="3D6AE85B" w14:textId="77777777" w:rsidR="00D61984" w:rsidRDefault="00D61984" w:rsidP="00432DE7">
      <w:pPr>
        <w:pStyle w:val="Texto"/>
        <w:spacing w:after="80" w:line="203" w:lineRule="exact"/>
        <w:ind w:firstLine="0"/>
        <w:rPr>
          <w:b/>
          <w:sz w:val="22"/>
          <w:szCs w:val="22"/>
          <w:lang w:val="es-MX"/>
        </w:rPr>
      </w:pPr>
    </w:p>
    <w:p w14:paraId="4960D2AF" w14:textId="77777777" w:rsidR="00CF6A99" w:rsidRDefault="00CF6A99" w:rsidP="00FA5D7C">
      <w:pPr>
        <w:pStyle w:val="Texto"/>
        <w:numPr>
          <w:ilvl w:val="0"/>
          <w:numId w:val="2"/>
        </w:numPr>
        <w:spacing w:after="80" w:line="203" w:lineRule="exact"/>
        <w:rPr>
          <w:b/>
          <w:sz w:val="22"/>
          <w:szCs w:val="22"/>
          <w:lang w:val="es-MX"/>
        </w:rPr>
      </w:pPr>
      <w:r w:rsidRPr="00FA5D7C">
        <w:rPr>
          <w:b/>
          <w:sz w:val="22"/>
          <w:szCs w:val="22"/>
          <w:lang w:val="es-MX"/>
        </w:rPr>
        <w:t>Derechos a recibir Efectivo y Equivalentes y Bienes o Servicios a Recibir</w:t>
      </w:r>
    </w:p>
    <w:p w14:paraId="227F656F" w14:textId="77777777" w:rsidR="00D61984" w:rsidRPr="00FA5D7C" w:rsidRDefault="00D61984" w:rsidP="00D61984">
      <w:pPr>
        <w:pStyle w:val="Texto"/>
        <w:spacing w:after="80" w:line="203" w:lineRule="exact"/>
        <w:ind w:left="1008" w:firstLine="0"/>
        <w:rPr>
          <w:b/>
          <w:sz w:val="22"/>
          <w:szCs w:val="22"/>
          <w:lang w:val="es-MX"/>
        </w:rPr>
      </w:pPr>
    </w:p>
    <w:p w14:paraId="0C630F58" w14:textId="77777777" w:rsidR="009E3D9F" w:rsidRPr="00D61984" w:rsidRDefault="009E3D9F" w:rsidP="00D61984">
      <w:pPr>
        <w:ind w:left="300" w:firstLine="708"/>
        <w:rPr>
          <w:rFonts w:ascii="Arial" w:eastAsia="Cambria" w:hAnsi="Arial" w:cs="Arial"/>
        </w:rPr>
      </w:pPr>
      <w:r w:rsidRPr="003755FD">
        <w:rPr>
          <w:rFonts w:ascii="Arial" w:eastAsia="Cambria" w:hAnsi="Arial" w:cs="Arial"/>
        </w:rPr>
        <w:t>A continuación, se enlistan las cuentas por cobrar registra</w:t>
      </w:r>
      <w:r w:rsidR="00D61984">
        <w:rPr>
          <w:rFonts w:ascii="Arial" w:eastAsia="Cambria" w:hAnsi="Arial" w:cs="Arial"/>
        </w:rPr>
        <w:t>das en los activos circulantes.</w:t>
      </w:r>
    </w:p>
    <w:p w14:paraId="4F506967" w14:textId="137385A9" w:rsidR="003E0B25" w:rsidRDefault="00B42A4D" w:rsidP="003755FD">
      <w:pPr>
        <w:pStyle w:val="Prrafodelista"/>
        <w:ind w:left="426"/>
        <w:jc w:val="center"/>
      </w:pPr>
      <w:r w:rsidRPr="00B42A4D">
        <w:rPr>
          <w:noProof/>
          <w:lang w:eastAsia="es-MX"/>
        </w:rPr>
        <w:drawing>
          <wp:inline distT="0" distB="0" distL="0" distR="0" wp14:anchorId="1DF0361A" wp14:editId="6A247398">
            <wp:extent cx="5486400" cy="264795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2647950"/>
                    </a:xfrm>
                    <a:prstGeom prst="rect">
                      <a:avLst/>
                    </a:prstGeom>
                    <a:noFill/>
                    <a:ln>
                      <a:noFill/>
                    </a:ln>
                  </pic:spPr>
                </pic:pic>
              </a:graphicData>
            </a:graphic>
          </wp:inline>
        </w:drawing>
      </w:r>
      <w:bookmarkStart w:id="0" w:name="h.4d34og8" w:colFirst="0" w:colLast="0"/>
      <w:bookmarkEnd w:id="0"/>
      <w:r w:rsidR="009E3D9F" w:rsidRPr="00BB4668">
        <w:rPr>
          <w:rFonts w:ascii="Cambria" w:eastAsia="Cambria" w:hAnsi="Cambria" w:cs="Cambria"/>
        </w:rPr>
        <w:t>.</w:t>
      </w:r>
      <w:r w:rsidR="003E0B25">
        <w:rPr>
          <w:rFonts w:ascii="Cambria" w:eastAsia="Cambria" w:hAnsi="Cambria" w:cs="Cambria"/>
        </w:rPr>
        <w:fldChar w:fldCharType="begin"/>
      </w:r>
      <w:r w:rsidR="003E0B25">
        <w:rPr>
          <w:rFonts w:ascii="Cambria" w:eastAsia="Cambria" w:hAnsi="Cambria" w:cs="Cambria"/>
        </w:rPr>
        <w:instrText xml:space="preserve"> LINK Excel.Sheet.8 "C:\\MARICELA 2022\\4.- ESTADOS FINANC TRIMESTRALES\\HOJA DE TRABAJO NOTAS MARICELA\\1.-HOJAS LLENADO DE NOTAS BALANCE junio.xls" "Hoja1!F22C1:F30C3" \a \f 4 \h  \* MERGEFORMAT </w:instrText>
      </w:r>
      <w:r w:rsidR="003E0B25">
        <w:rPr>
          <w:rFonts w:ascii="Cambria" w:eastAsia="Cambria" w:hAnsi="Cambria" w:cs="Cambria"/>
        </w:rPr>
        <w:fldChar w:fldCharType="separate"/>
      </w:r>
    </w:p>
    <w:p w14:paraId="5AE8645D" w14:textId="77777777" w:rsidR="003755FD" w:rsidRPr="00A3377D" w:rsidRDefault="003E0B25" w:rsidP="00A3377D">
      <w:pPr>
        <w:pStyle w:val="Prrafodelista"/>
        <w:ind w:left="426"/>
        <w:jc w:val="center"/>
        <w:rPr>
          <w:rFonts w:ascii="Cambria" w:eastAsia="Cambria" w:hAnsi="Cambria" w:cs="Cambria"/>
        </w:rPr>
      </w:pPr>
      <w:r>
        <w:rPr>
          <w:rFonts w:ascii="Cambria" w:eastAsia="Cambria" w:hAnsi="Cambria" w:cs="Cambria"/>
        </w:rPr>
        <w:fldChar w:fldCharType="end"/>
      </w:r>
      <w:r w:rsidR="00A927AC" w:rsidRPr="00BB4668">
        <w:rPr>
          <w:rFonts w:ascii="Cambria" w:eastAsia="Cambria" w:hAnsi="Cambria" w:cs="Cambria"/>
        </w:rPr>
        <w:t xml:space="preserve"> </w:t>
      </w:r>
    </w:p>
    <w:p w14:paraId="205F3CB9" w14:textId="77777777" w:rsidR="009E3D9F" w:rsidRPr="00FA5D7C" w:rsidRDefault="009E3D9F" w:rsidP="00FA5D7C">
      <w:pPr>
        <w:pStyle w:val="Prrafodelista"/>
        <w:numPr>
          <w:ilvl w:val="0"/>
          <w:numId w:val="3"/>
        </w:numPr>
        <w:jc w:val="both"/>
        <w:rPr>
          <w:rFonts w:ascii="Cambria" w:hAnsi="Cambria"/>
        </w:rPr>
      </w:pPr>
      <w:r w:rsidRPr="00FA5D7C">
        <w:rPr>
          <w:rFonts w:ascii="Cambria" w:eastAsia="Cambria" w:hAnsi="Cambria" w:cs="Cambria"/>
          <w:b/>
          <w:sz w:val="24"/>
          <w:szCs w:val="24"/>
        </w:rPr>
        <w:t>Prést</w:t>
      </w:r>
      <w:r w:rsidR="009167D8">
        <w:rPr>
          <w:rFonts w:ascii="Cambria" w:eastAsia="Cambria" w:hAnsi="Cambria" w:cs="Cambria"/>
          <w:b/>
          <w:sz w:val="24"/>
          <w:szCs w:val="24"/>
        </w:rPr>
        <w:t>amos a empresas Paramunicipales</w:t>
      </w:r>
    </w:p>
    <w:p w14:paraId="00A93F21" w14:textId="77777777" w:rsidR="00D61984" w:rsidRDefault="009E3D9F" w:rsidP="00D61984">
      <w:pPr>
        <w:spacing w:line="360" w:lineRule="auto"/>
        <w:ind w:left="1146"/>
        <w:jc w:val="both"/>
        <w:rPr>
          <w:rFonts w:ascii="Arial" w:eastAsia="Cambria" w:hAnsi="Arial" w:cs="Arial"/>
        </w:rPr>
      </w:pPr>
      <w:r w:rsidRPr="003755FD">
        <w:rPr>
          <w:rFonts w:ascii="Arial" w:eastAsia="Cambria" w:hAnsi="Arial" w:cs="Arial"/>
        </w:rPr>
        <w:t>A continuación, se enlistan las cuentas por cobrar de las Entidades Paramunicipales registradas en los activos circulantes del Municipio:</w:t>
      </w:r>
    </w:p>
    <w:p w14:paraId="77E7981F" w14:textId="085C9A1A" w:rsidR="00432DE7" w:rsidRDefault="00B42A4D" w:rsidP="00D61984">
      <w:pPr>
        <w:spacing w:line="360" w:lineRule="auto"/>
        <w:ind w:left="1146"/>
        <w:jc w:val="both"/>
        <w:rPr>
          <w:rFonts w:ascii="Arial" w:eastAsia="Cambria" w:hAnsi="Arial" w:cs="Arial"/>
        </w:rPr>
      </w:pPr>
      <w:r w:rsidRPr="00B42A4D">
        <w:rPr>
          <w:noProof/>
          <w:lang w:eastAsia="es-MX"/>
        </w:rPr>
        <w:drawing>
          <wp:inline distT="0" distB="0" distL="0" distR="0" wp14:anchorId="3FA362D2" wp14:editId="28AB27F3">
            <wp:extent cx="5486400" cy="116395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163955"/>
                    </a:xfrm>
                    <a:prstGeom prst="rect">
                      <a:avLst/>
                    </a:prstGeom>
                    <a:noFill/>
                    <a:ln>
                      <a:noFill/>
                    </a:ln>
                  </pic:spPr>
                </pic:pic>
              </a:graphicData>
            </a:graphic>
          </wp:inline>
        </w:drawing>
      </w:r>
    </w:p>
    <w:p w14:paraId="63907B42" w14:textId="38D58C70" w:rsidR="001C1376" w:rsidRDefault="001C1376" w:rsidP="00D61984">
      <w:pPr>
        <w:spacing w:line="360" w:lineRule="auto"/>
        <w:ind w:left="1146"/>
        <w:jc w:val="both"/>
        <w:rPr>
          <w:rFonts w:ascii="Arial" w:eastAsia="Cambria" w:hAnsi="Arial" w:cs="Arial"/>
        </w:rPr>
      </w:pPr>
    </w:p>
    <w:p w14:paraId="73796905" w14:textId="75A29165" w:rsidR="001C1376" w:rsidRDefault="001C1376" w:rsidP="00D61984">
      <w:pPr>
        <w:spacing w:line="360" w:lineRule="auto"/>
        <w:ind w:left="1146"/>
        <w:jc w:val="both"/>
        <w:rPr>
          <w:rFonts w:ascii="Arial" w:eastAsia="Cambria" w:hAnsi="Arial" w:cs="Arial"/>
        </w:rPr>
      </w:pPr>
    </w:p>
    <w:p w14:paraId="78B0D2E3" w14:textId="77777777" w:rsidR="009E68AD" w:rsidRDefault="009E68AD" w:rsidP="00D61984">
      <w:pPr>
        <w:spacing w:line="360" w:lineRule="auto"/>
        <w:ind w:left="1146"/>
        <w:jc w:val="both"/>
        <w:rPr>
          <w:rFonts w:ascii="Arial" w:eastAsia="Cambria" w:hAnsi="Arial" w:cs="Arial"/>
        </w:rPr>
      </w:pPr>
    </w:p>
    <w:p w14:paraId="1B6AD954" w14:textId="77777777" w:rsidR="001C1376" w:rsidRDefault="001C1376" w:rsidP="00D61984">
      <w:pPr>
        <w:spacing w:line="360" w:lineRule="auto"/>
        <w:ind w:left="1146"/>
        <w:jc w:val="both"/>
        <w:rPr>
          <w:rFonts w:ascii="Arial" w:eastAsia="Cambria" w:hAnsi="Arial" w:cs="Arial"/>
        </w:rPr>
      </w:pPr>
    </w:p>
    <w:p w14:paraId="0AC3D3E1" w14:textId="77777777" w:rsidR="009E3D9F" w:rsidRPr="009E3D9F" w:rsidRDefault="009E3D9F" w:rsidP="00FA5D7C">
      <w:pPr>
        <w:pStyle w:val="Texto"/>
        <w:numPr>
          <w:ilvl w:val="0"/>
          <w:numId w:val="4"/>
        </w:numPr>
        <w:spacing w:after="80" w:line="203" w:lineRule="exact"/>
        <w:rPr>
          <w:b/>
          <w:sz w:val="22"/>
          <w:szCs w:val="22"/>
          <w:lang w:val="es-MX"/>
        </w:rPr>
      </w:pPr>
      <w:r w:rsidRPr="009E3D9F">
        <w:rPr>
          <w:b/>
          <w:sz w:val="22"/>
          <w:szCs w:val="22"/>
          <w:lang w:val="es-MX"/>
        </w:rPr>
        <w:lastRenderedPageBreak/>
        <w:t>Almacenes</w:t>
      </w:r>
    </w:p>
    <w:p w14:paraId="15A40C13" w14:textId="77777777" w:rsidR="00A927AC" w:rsidRDefault="009E3D9F" w:rsidP="00D61984">
      <w:pPr>
        <w:spacing w:line="360" w:lineRule="auto"/>
        <w:ind w:left="1008"/>
        <w:jc w:val="both"/>
        <w:rPr>
          <w:rFonts w:ascii="Arial" w:eastAsia="Cambria" w:hAnsi="Arial" w:cs="Arial"/>
        </w:rPr>
      </w:pPr>
      <w:r w:rsidRPr="003755FD">
        <w:rPr>
          <w:rFonts w:ascii="Arial" w:eastAsia="Cambria" w:hAnsi="Arial" w:cs="Arial"/>
        </w:rPr>
        <w:t>El Municipio de Mérida tiene registrados contablemente dos almacenes, los cuales se encuentran ubicados en la Subdirección de Proveeduría y en la Central de Mantenimiento Vehicular, ambas pertenecientes a la Dirección de Administración. Las entradas se encuentran valuadas a valor de adquisición, y las salidas se registran mediante el método de costo promedio.</w:t>
      </w:r>
    </w:p>
    <w:p w14:paraId="516FE442" w14:textId="1F0C32D0" w:rsidR="00A927AC" w:rsidRDefault="00176771" w:rsidP="00432DE7">
      <w:pPr>
        <w:jc w:val="center"/>
        <w:rPr>
          <w:rFonts w:ascii="Arial" w:eastAsia="Cambria" w:hAnsi="Arial" w:cs="Arial"/>
        </w:rPr>
      </w:pPr>
      <w:r w:rsidRPr="00176771">
        <w:rPr>
          <w:noProof/>
          <w:lang w:eastAsia="es-MX"/>
        </w:rPr>
        <w:drawing>
          <wp:inline distT="0" distB="0" distL="0" distR="0" wp14:anchorId="5B403BB0" wp14:editId="34453708">
            <wp:extent cx="4215740" cy="848591"/>
            <wp:effectExtent l="0" t="0" r="0" b="889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2842" cy="854046"/>
                    </a:xfrm>
                    <a:prstGeom prst="rect">
                      <a:avLst/>
                    </a:prstGeom>
                    <a:noFill/>
                    <a:ln>
                      <a:noFill/>
                    </a:ln>
                  </pic:spPr>
                </pic:pic>
              </a:graphicData>
            </a:graphic>
          </wp:inline>
        </w:drawing>
      </w:r>
    </w:p>
    <w:p w14:paraId="4C948A06" w14:textId="77777777" w:rsidR="00F81254" w:rsidRPr="00FF1029" w:rsidRDefault="00F81254" w:rsidP="00F81254">
      <w:pPr>
        <w:rPr>
          <w:rFonts w:ascii="Cambria" w:eastAsia="Cambria" w:hAnsi="Cambria" w:cs="Cambria"/>
          <w:sz w:val="24"/>
          <w:szCs w:val="24"/>
        </w:rPr>
      </w:pPr>
    </w:p>
    <w:p w14:paraId="797FDE0B" w14:textId="77777777" w:rsidR="00FA5D7C" w:rsidRPr="00A927AC" w:rsidRDefault="00CF6A99" w:rsidP="00A927AC">
      <w:pPr>
        <w:pStyle w:val="Texto"/>
        <w:numPr>
          <w:ilvl w:val="0"/>
          <w:numId w:val="5"/>
        </w:numPr>
        <w:spacing w:after="80" w:line="203" w:lineRule="exact"/>
        <w:rPr>
          <w:b/>
          <w:sz w:val="22"/>
          <w:szCs w:val="22"/>
          <w:lang w:val="es-MX"/>
        </w:rPr>
      </w:pPr>
      <w:r w:rsidRPr="00FA5D7C">
        <w:rPr>
          <w:b/>
          <w:sz w:val="22"/>
          <w:szCs w:val="22"/>
          <w:lang w:val="es-MX"/>
        </w:rPr>
        <w:t>Inversiones Financieras</w:t>
      </w:r>
    </w:p>
    <w:p w14:paraId="39765258" w14:textId="77777777" w:rsidR="001B0F81" w:rsidRPr="003755FD" w:rsidRDefault="00FA5D7C" w:rsidP="00F11A27">
      <w:pPr>
        <w:tabs>
          <w:tab w:val="left" w:pos="1418"/>
        </w:tabs>
        <w:spacing w:line="360" w:lineRule="auto"/>
        <w:ind w:left="1008"/>
        <w:jc w:val="both"/>
        <w:rPr>
          <w:rFonts w:ascii="Arial" w:eastAsia="Cambria" w:hAnsi="Arial" w:cs="Arial"/>
        </w:rPr>
      </w:pPr>
      <w:r w:rsidRPr="003755FD">
        <w:rPr>
          <w:rFonts w:ascii="Arial" w:eastAsia="Cambria" w:hAnsi="Arial" w:cs="Arial"/>
        </w:rPr>
        <w:t>En este rubro se encuentran registrado el saldo bancario del Fideicomiso con el que cuenta el Municipio, el cual se contrató con la finalidad de poder otorgar beneficio a los empleados.</w:t>
      </w:r>
    </w:p>
    <w:p w14:paraId="0B41C7AC" w14:textId="1B3DA41B" w:rsidR="00A1098C" w:rsidRPr="00A002F3" w:rsidRDefault="00176771" w:rsidP="00176771">
      <w:pPr>
        <w:tabs>
          <w:tab w:val="left" w:pos="1418"/>
          <w:tab w:val="decimal" w:pos="1701"/>
        </w:tabs>
        <w:ind w:left="426"/>
        <w:jc w:val="center"/>
        <w:rPr>
          <w:rFonts w:ascii="Cambria" w:eastAsia="Cambria" w:hAnsi="Cambria" w:cs="Cambria"/>
          <w:sz w:val="24"/>
          <w:szCs w:val="24"/>
        </w:rPr>
      </w:pPr>
      <w:r w:rsidRPr="00176771">
        <w:rPr>
          <w:noProof/>
          <w:lang w:eastAsia="es-MX"/>
        </w:rPr>
        <w:drawing>
          <wp:inline distT="0" distB="0" distL="0" distR="0" wp14:anchorId="2F4ED478" wp14:editId="3AC2BF29">
            <wp:extent cx="4177608" cy="712091"/>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1857" cy="714520"/>
                    </a:xfrm>
                    <a:prstGeom prst="rect">
                      <a:avLst/>
                    </a:prstGeom>
                    <a:noFill/>
                    <a:ln>
                      <a:noFill/>
                    </a:ln>
                  </pic:spPr>
                </pic:pic>
              </a:graphicData>
            </a:graphic>
          </wp:inline>
        </w:drawing>
      </w:r>
    </w:p>
    <w:p w14:paraId="7595D2D2" w14:textId="77777777" w:rsidR="00A927AC" w:rsidRDefault="00A927AC" w:rsidP="00F11A27">
      <w:pPr>
        <w:spacing w:after="0" w:line="240" w:lineRule="auto"/>
        <w:rPr>
          <w:rFonts w:ascii="Cambria" w:eastAsia="Cambria" w:hAnsi="Cambria" w:cs="Cambria"/>
          <w:b/>
          <w:sz w:val="24"/>
          <w:szCs w:val="24"/>
        </w:rPr>
      </w:pPr>
    </w:p>
    <w:p w14:paraId="0FC5AB1E" w14:textId="77777777" w:rsidR="00FA5D7C" w:rsidRDefault="00FA5D7C" w:rsidP="00FA5D7C">
      <w:pPr>
        <w:spacing w:after="0" w:line="240" w:lineRule="auto"/>
        <w:ind w:left="426"/>
        <w:jc w:val="center"/>
        <w:rPr>
          <w:rFonts w:ascii="Cambria" w:eastAsia="Cambria" w:hAnsi="Cambria" w:cs="Cambria"/>
          <w:b/>
          <w:sz w:val="28"/>
          <w:szCs w:val="28"/>
        </w:rPr>
      </w:pPr>
      <w:r w:rsidRPr="00FF1029">
        <w:rPr>
          <w:rFonts w:ascii="Cambria" w:eastAsia="Cambria" w:hAnsi="Cambria" w:cs="Cambria"/>
          <w:b/>
          <w:sz w:val="28"/>
          <w:szCs w:val="28"/>
        </w:rPr>
        <w:t>Beneficio a los Empleados</w:t>
      </w:r>
    </w:p>
    <w:p w14:paraId="2D4255DF" w14:textId="77777777" w:rsidR="00FA5D7C" w:rsidRPr="00A002F3" w:rsidRDefault="00FA5D7C" w:rsidP="00A927AC">
      <w:pPr>
        <w:spacing w:after="0" w:line="240" w:lineRule="auto"/>
        <w:jc w:val="both"/>
        <w:rPr>
          <w:rFonts w:ascii="Cambria" w:hAnsi="Cambria"/>
        </w:rPr>
      </w:pPr>
    </w:p>
    <w:p w14:paraId="64E519C9" w14:textId="77777777" w:rsidR="00FA5D7C" w:rsidRPr="00FA5D7C" w:rsidRDefault="00FA5D7C" w:rsidP="00FA5D7C">
      <w:pPr>
        <w:spacing w:after="0" w:line="240" w:lineRule="auto"/>
        <w:ind w:left="426"/>
        <w:jc w:val="both"/>
        <w:rPr>
          <w:rFonts w:ascii="Cambria" w:hAnsi="Cambria"/>
          <w:b/>
          <w:sz w:val="24"/>
          <w:szCs w:val="24"/>
        </w:rPr>
      </w:pPr>
      <w:r w:rsidRPr="00FA5D7C">
        <w:rPr>
          <w:rFonts w:ascii="Cambria" w:hAnsi="Cambria"/>
          <w:b/>
          <w:sz w:val="24"/>
          <w:szCs w:val="24"/>
        </w:rPr>
        <w:t xml:space="preserve">SIRJUM </w:t>
      </w:r>
    </w:p>
    <w:p w14:paraId="441B22B0" w14:textId="77777777" w:rsidR="00FA5D7C" w:rsidRPr="003755FD" w:rsidRDefault="00FA5D7C" w:rsidP="003755FD">
      <w:pPr>
        <w:spacing w:before="240" w:line="360" w:lineRule="auto"/>
        <w:ind w:left="426"/>
        <w:jc w:val="both"/>
        <w:rPr>
          <w:rFonts w:ascii="Arial" w:hAnsi="Arial" w:cs="Arial"/>
        </w:rPr>
      </w:pPr>
      <w:r w:rsidRPr="003755FD">
        <w:rPr>
          <w:rFonts w:ascii="Arial" w:hAnsi="Arial" w:cs="Arial"/>
        </w:rPr>
        <w:t xml:space="preserve">El Municipio cuenta con el Sistema Individual para el Retiro y Jubilación Municipal (SIRJUM), para hacer frente al pago de pensiones y jubilaciones, el cual procura que se cuente con los recursos económicos para financiar las obligaciones laborales. </w:t>
      </w:r>
    </w:p>
    <w:p w14:paraId="600E9EA4" w14:textId="77777777" w:rsidR="00EC0F98" w:rsidRPr="00F11A27" w:rsidRDefault="00FA5D7C" w:rsidP="00F11A27">
      <w:pPr>
        <w:spacing w:before="240" w:line="360" w:lineRule="auto"/>
        <w:ind w:left="426"/>
        <w:jc w:val="both"/>
        <w:rPr>
          <w:rFonts w:ascii="Arial" w:hAnsi="Arial" w:cs="Arial"/>
        </w:rPr>
      </w:pPr>
      <w:r w:rsidRPr="003755FD">
        <w:rPr>
          <w:rFonts w:ascii="Arial" w:hAnsi="Arial" w:cs="Arial"/>
        </w:rPr>
        <w:t>Las obligaciones que se derivan del Sistema Individual para el Retiro y Jubilación Municipal (SIRJUM), se incorporan en el pasivo de la valuación actuarial como un instrumento auxiliar de financiamiento. Sin embargo, se incorpora el esfuerzo presupuestal de la administración municipal por crear un fondo que apoye el fondeo de pensiones.</w:t>
      </w:r>
    </w:p>
    <w:p w14:paraId="0A328AD8" w14:textId="77777777" w:rsidR="00D145A1" w:rsidRDefault="00D145A1" w:rsidP="00FA5D7C">
      <w:pPr>
        <w:ind w:left="426"/>
        <w:jc w:val="both"/>
        <w:rPr>
          <w:rFonts w:ascii="Cambria" w:hAnsi="Cambria"/>
          <w:b/>
          <w:sz w:val="24"/>
          <w:szCs w:val="24"/>
        </w:rPr>
      </w:pPr>
    </w:p>
    <w:p w14:paraId="2BE8D837" w14:textId="0514CE14" w:rsidR="00FA5D7C" w:rsidRPr="00FA5D7C" w:rsidRDefault="00FA5D7C" w:rsidP="00FA5D7C">
      <w:pPr>
        <w:ind w:left="426"/>
        <w:jc w:val="both"/>
        <w:rPr>
          <w:rFonts w:ascii="Cambria" w:hAnsi="Cambria"/>
          <w:b/>
          <w:sz w:val="24"/>
          <w:szCs w:val="24"/>
        </w:rPr>
      </w:pPr>
      <w:r w:rsidRPr="00FA5D7C">
        <w:rPr>
          <w:rFonts w:ascii="Cambria" w:hAnsi="Cambria"/>
          <w:b/>
          <w:sz w:val="24"/>
          <w:szCs w:val="24"/>
        </w:rPr>
        <w:lastRenderedPageBreak/>
        <w:t>INFONAVIT</w:t>
      </w:r>
    </w:p>
    <w:p w14:paraId="798ECDAA" w14:textId="56820D24" w:rsidR="006C0769" w:rsidRDefault="00FA5D7C" w:rsidP="00D145A1">
      <w:pPr>
        <w:spacing w:line="360" w:lineRule="auto"/>
        <w:ind w:left="426"/>
        <w:jc w:val="both"/>
        <w:rPr>
          <w:rFonts w:ascii="Arial" w:hAnsi="Arial" w:cs="Arial"/>
        </w:rPr>
      </w:pPr>
      <w:r w:rsidRPr="003755FD">
        <w:rPr>
          <w:rFonts w:ascii="Arial" w:hAnsi="Arial" w:cs="Arial"/>
        </w:rPr>
        <w:t>Con fecha 11 de enero de 2016, quedó formalmente aceptada la incorporación del Ayuntamiento de Mérida al Instituto del Fondo Nacional de Vivienda para los trabajadores (INFONAVIT), mediante oficio SGRF/GCRF/970/2016 y a partir del segundo bimestre de 2016 se empiezan a realizar las aportaciones correspondientes al cinco por ciento sobre el salario de los trabajadores</w:t>
      </w:r>
      <w:r w:rsidR="00927878" w:rsidRPr="003755FD">
        <w:rPr>
          <w:rFonts w:ascii="Arial" w:hAnsi="Arial" w:cs="Arial"/>
        </w:rPr>
        <w:t xml:space="preserve"> al servicio del Ayuntamiento. </w:t>
      </w:r>
    </w:p>
    <w:p w14:paraId="7C8B476E" w14:textId="77777777" w:rsidR="00EE57CE" w:rsidRDefault="00EE57CE" w:rsidP="006C0769">
      <w:pPr>
        <w:spacing w:line="360" w:lineRule="auto"/>
        <w:jc w:val="both"/>
        <w:rPr>
          <w:rFonts w:ascii="Arial" w:hAnsi="Arial" w:cs="Arial"/>
        </w:rPr>
      </w:pPr>
    </w:p>
    <w:p w14:paraId="7674FD13" w14:textId="77777777" w:rsidR="00FF1029" w:rsidRDefault="00FF1029" w:rsidP="00FF1029">
      <w:pPr>
        <w:pStyle w:val="Sinespaciado"/>
        <w:numPr>
          <w:ilvl w:val="0"/>
          <w:numId w:val="8"/>
        </w:numPr>
        <w:rPr>
          <w:rFonts w:ascii="Arial" w:hAnsi="Arial" w:cs="Arial"/>
          <w:b/>
        </w:rPr>
      </w:pPr>
      <w:r w:rsidRPr="00FF1029">
        <w:rPr>
          <w:rFonts w:ascii="Arial" w:hAnsi="Arial" w:cs="Arial"/>
          <w:b/>
          <w:lang w:eastAsia="es-MX"/>
        </w:rPr>
        <w:t>Derechos a recibir Efectivo o Equivalentes a largo plazo</w:t>
      </w:r>
      <w:r w:rsidRPr="00FF1029">
        <w:rPr>
          <w:rFonts w:ascii="Arial" w:hAnsi="Arial" w:cs="Arial"/>
          <w:b/>
        </w:rPr>
        <w:t xml:space="preserve"> </w:t>
      </w:r>
    </w:p>
    <w:p w14:paraId="011DA7BC" w14:textId="77777777" w:rsidR="00927878" w:rsidRPr="00FF1029" w:rsidRDefault="00927878" w:rsidP="00927878">
      <w:pPr>
        <w:pStyle w:val="Sinespaciado"/>
        <w:ind w:left="1068"/>
        <w:rPr>
          <w:rFonts w:ascii="Arial" w:hAnsi="Arial" w:cs="Arial"/>
          <w:b/>
        </w:rPr>
      </w:pPr>
    </w:p>
    <w:p w14:paraId="69B88513" w14:textId="77777777" w:rsidR="00FF1029" w:rsidRPr="00D61984" w:rsidRDefault="00FF1029" w:rsidP="00D61984">
      <w:pPr>
        <w:pStyle w:val="Prrafodelista"/>
        <w:ind w:left="786" w:firstLine="282"/>
        <w:rPr>
          <w:rFonts w:ascii="Cambria" w:hAnsi="Cambria"/>
        </w:rPr>
      </w:pPr>
      <w:r w:rsidRPr="00795A1C">
        <w:rPr>
          <w:rFonts w:ascii="Cambria" w:hAnsi="Cambria"/>
        </w:rPr>
        <w:t>A continuación, se enlistan las cuentas por cobrar registradas en los activos no</w:t>
      </w:r>
      <w:r w:rsidR="00D61984">
        <w:rPr>
          <w:rFonts w:ascii="Cambria" w:hAnsi="Cambria"/>
        </w:rPr>
        <w:t xml:space="preserve"> circulantes</w:t>
      </w:r>
    </w:p>
    <w:p w14:paraId="66D6296E" w14:textId="6C0D4B07" w:rsidR="001B0F81" w:rsidRPr="00EA67DE" w:rsidRDefault="00EE57CE" w:rsidP="00EA67DE">
      <w:pPr>
        <w:ind w:left="426"/>
        <w:jc w:val="center"/>
        <w:rPr>
          <w:rFonts w:ascii="Cambria" w:hAnsi="Cambria"/>
          <w:sz w:val="24"/>
          <w:szCs w:val="24"/>
        </w:rPr>
      </w:pPr>
      <w:r w:rsidRPr="00EE57CE">
        <w:rPr>
          <w:noProof/>
          <w:lang w:eastAsia="es-MX"/>
        </w:rPr>
        <w:drawing>
          <wp:inline distT="0" distB="0" distL="0" distR="0" wp14:anchorId="5BF660D9" wp14:editId="4E8554A6">
            <wp:extent cx="5486400" cy="3705225"/>
            <wp:effectExtent l="0" t="0" r="0" b="952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3705225"/>
                    </a:xfrm>
                    <a:prstGeom prst="rect">
                      <a:avLst/>
                    </a:prstGeom>
                    <a:noFill/>
                    <a:ln>
                      <a:noFill/>
                    </a:ln>
                  </pic:spPr>
                </pic:pic>
              </a:graphicData>
            </a:graphic>
          </wp:inline>
        </w:drawing>
      </w:r>
    </w:p>
    <w:p w14:paraId="6BC45471" w14:textId="31325A8C" w:rsidR="00EE57CE" w:rsidRDefault="00EE57CE" w:rsidP="00EE57CE">
      <w:pPr>
        <w:pStyle w:val="Sinespaciado"/>
        <w:ind w:left="1068"/>
        <w:rPr>
          <w:rFonts w:ascii="Arial" w:eastAsia="Cambria" w:hAnsi="Arial" w:cs="Arial"/>
          <w:b/>
        </w:rPr>
      </w:pPr>
    </w:p>
    <w:p w14:paraId="73C883D9" w14:textId="563F0554" w:rsidR="00EE57CE" w:rsidRDefault="00EE57CE" w:rsidP="00EE57CE">
      <w:pPr>
        <w:pStyle w:val="Sinespaciado"/>
        <w:ind w:left="1068"/>
        <w:rPr>
          <w:rFonts w:ascii="Arial" w:eastAsia="Cambria" w:hAnsi="Arial" w:cs="Arial"/>
          <w:b/>
        </w:rPr>
      </w:pPr>
    </w:p>
    <w:p w14:paraId="4ABC4CE5" w14:textId="34DEBDD1" w:rsidR="00D145A1" w:rsidRDefault="00D145A1" w:rsidP="00EE57CE">
      <w:pPr>
        <w:pStyle w:val="Sinespaciado"/>
        <w:ind w:left="1068"/>
        <w:rPr>
          <w:rFonts w:ascii="Arial" w:eastAsia="Cambria" w:hAnsi="Arial" w:cs="Arial"/>
          <w:b/>
        </w:rPr>
      </w:pPr>
    </w:p>
    <w:p w14:paraId="6024BF7C" w14:textId="77777777" w:rsidR="00D145A1" w:rsidRDefault="00D145A1" w:rsidP="00EE57CE">
      <w:pPr>
        <w:pStyle w:val="Sinespaciado"/>
        <w:ind w:left="1068"/>
        <w:rPr>
          <w:rFonts w:ascii="Arial" w:eastAsia="Cambria" w:hAnsi="Arial" w:cs="Arial"/>
          <w:b/>
        </w:rPr>
      </w:pPr>
    </w:p>
    <w:p w14:paraId="69D1BE92" w14:textId="2E88CD78" w:rsidR="00EE57CE" w:rsidRDefault="00EE57CE" w:rsidP="00EE57CE">
      <w:pPr>
        <w:pStyle w:val="Sinespaciado"/>
        <w:ind w:left="1068"/>
        <w:rPr>
          <w:rFonts w:ascii="Arial" w:eastAsia="Cambria" w:hAnsi="Arial" w:cs="Arial"/>
          <w:b/>
        </w:rPr>
      </w:pPr>
    </w:p>
    <w:p w14:paraId="6138475F" w14:textId="77777777" w:rsidR="001C1376" w:rsidRDefault="001C1376" w:rsidP="00EE57CE">
      <w:pPr>
        <w:pStyle w:val="Sinespaciado"/>
        <w:ind w:left="1068"/>
        <w:rPr>
          <w:rFonts w:ascii="Arial" w:eastAsia="Cambria" w:hAnsi="Arial" w:cs="Arial"/>
          <w:b/>
        </w:rPr>
      </w:pPr>
    </w:p>
    <w:p w14:paraId="43749E45" w14:textId="1064D1B9" w:rsidR="00F81254" w:rsidRPr="00D145A1" w:rsidRDefault="00FF1029" w:rsidP="00007013">
      <w:pPr>
        <w:pStyle w:val="Sinespaciado"/>
        <w:numPr>
          <w:ilvl w:val="0"/>
          <w:numId w:val="10"/>
        </w:numPr>
        <w:rPr>
          <w:rFonts w:ascii="Arial" w:eastAsia="Cambria" w:hAnsi="Arial" w:cs="Arial"/>
          <w:b/>
        </w:rPr>
      </w:pPr>
      <w:r w:rsidRPr="00D145A1">
        <w:rPr>
          <w:rFonts w:ascii="Arial" w:eastAsia="Cambria" w:hAnsi="Arial" w:cs="Arial"/>
          <w:b/>
        </w:rPr>
        <w:lastRenderedPageBreak/>
        <w:t>Bienes Muebles, Inmuebles e Intangibles</w:t>
      </w:r>
    </w:p>
    <w:p w14:paraId="6BE89D92" w14:textId="77777777" w:rsidR="00432DE7" w:rsidRDefault="00FF1029" w:rsidP="00F81254">
      <w:pPr>
        <w:tabs>
          <w:tab w:val="left" w:pos="142"/>
          <w:tab w:val="left" w:pos="284"/>
        </w:tabs>
        <w:spacing w:after="0" w:line="276" w:lineRule="auto"/>
        <w:ind w:left="1134" w:right="157"/>
        <w:rPr>
          <w:rFonts w:ascii="Cambria" w:eastAsia="Cambria" w:hAnsi="Cambria" w:cs="Cambria"/>
          <w:sz w:val="24"/>
          <w:szCs w:val="24"/>
        </w:rPr>
      </w:pPr>
      <w:r w:rsidRPr="00A002F3">
        <w:rPr>
          <w:rFonts w:ascii="Cambria" w:eastAsia="Cambria" w:hAnsi="Cambria" w:cs="Cambria"/>
          <w:sz w:val="24"/>
          <w:szCs w:val="24"/>
        </w:rPr>
        <w:t>Los bienes muebles</w:t>
      </w:r>
      <w:r>
        <w:rPr>
          <w:rFonts w:ascii="Cambria" w:eastAsia="Cambria" w:hAnsi="Cambria" w:cs="Cambria"/>
          <w:sz w:val="24"/>
          <w:szCs w:val="24"/>
        </w:rPr>
        <w:t xml:space="preserve"> e intangibles</w:t>
      </w:r>
      <w:r w:rsidRPr="00A002F3">
        <w:rPr>
          <w:rFonts w:ascii="Cambria" w:eastAsia="Cambria" w:hAnsi="Cambria" w:cs="Cambria"/>
          <w:sz w:val="24"/>
          <w:szCs w:val="24"/>
        </w:rPr>
        <w:t xml:space="preserve"> se encuentran registrados a su costo de adquisición, </w:t>
      </w:r>
      <w:r w:rsidRPr="00FF1029">
        <w:rPr>
          <w:rFonts w:ascii="Cambria" w:eastAsia="Cambria" w:hAnsi="Cambria" w:cs="Cambria"/>
          <w:sz w:val="24"/>
          <w:szCs w:val="24"/>
        </w:rPr>
        <w:t xml:space="preserve">y están integrados de la siguiente manera: </w:t>
      </w:r>
    </w:p>
    <w:p w14:paraId="55F1E871" w14:textId="77777777" w:rsidR="003E0B25" w:rsidRPr="001A5103" w:rsidRDefault="003E0B25" w:rsidP="00F81254">
      <w:pPr>
        <w:tabs>
          <w:tab w:val="left" w:pos="142"/>
          <w:tab w:val="left" w:pos="284"/>
        </w:tabs>
        <w:spacing w:after="0" w:line="276" w:lineRule="auto"/>
        <w:ind w:left="1134" w:right="157"/>
        <w:rPr>
          <w:rFonts w:eastAsia="Cambria"/>
        </w:rPr>
      </w:pPr>
      <w:r>
        <w:rPr>
          <w:rFonts w:eastAsia="Cambria"/>
        </w:rPr>
        <w:fldChar w:fldCharType="begin"/>
      </w:r>
      <w:r>
        <w:rPr>
          <w:rFonts w:eastAsia="Cambria"/>
        </w:rPr>
        <w:instrText xml:space="preserve"> LINK Excel.Sheet.8 "C:\\MARICELA 2022\\4.- ESTADOS FINANC TRIMESTRALES\\HOJA DE TRABAJO NOTAS MARICELA\\1.-HOJAS LLENADO DE NOTAS BALANCE junio.xls" "Hoja1!F73C1:F83C3" \a \f 4 \h </w:instrText>
      </w:r>
      <w:r>
        <w:rPr>
          <w:rFonts w:eastAsia="Cambria"/>
        </w:rPr>
        <w:fldChar w:fldCharType="separate"/>
      </w:r>
    </w:p>
    <w:p w14:paraId="3C6F2160" w14:textId="34EDDD0E" w:rsidR="003E0B25" w:rsidRPr="004451E4" w:rsidRDefault="003E0B25" w:rsidP="004451E4">
      <w:pPr>
        <w:tabs>
          <w:tab w:val="left" w:pos="142"/>
          <w:tab w:val="left" w:pos="284"/>
        </w:tabs>
        <w:spacing w:line="360" w:lineRule="auto"/>
        <w:ind w:left="1134" w:right="157"/>
        <w:rPr>
          <w:rFonts w:eastAsia="Cambria"/>
        </w:rPr>
      </w:pPr>
      <w:r>
        <w:rPr>
          <w:rFonts w:eastAsia="Cambria"/>
        </w:rPr>
        <w:fldChar w:fldCharType="end"/>
      </w:r>
      <w:r w:rsidR="00EE57CE" w:rsidRPr="00EE57CE">
        <w:rPr>
          <w:noProof/>
          <w:lang w:eastAsia="es-MX"/>
        </w:rPr>
        <w:drawing>
          <wp:inline distT="0" distB="0" distL="0" distR="0" wp14:anchorId="604CE078" wp14:editId="7CCFAE5B">
            <wp:extent cx="5485749" cy="2838202"/>
            <wp:effectExtent l="0" t="0" r="1270" b="63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01913" cy="2846565"/>
                    </a:xfrm>
                    <a:prstGeom prst="rect">
                      <a:avLst/>
                    </a:prstGeom>
                    <a:noFill/>
                    <a:ln>
                      <a:noFill/>
                    </a:ln>
                  </pic:spPr>
                </pic:pic>
              </a:graphicData>
            </a:graphic>
          </wp:inline>
        </w:drawing>
      </w:r>
    </w:p>
    <w:p w14:paraId="0AD2443B" w14:textId="77777777" w:rsidR="00EE57CE" w:rsidRDefault="00EE57CE" w:rsidP="00D61984">
      <w:pPr>
        <w:spacing w:line="360" w:lineRule="auto"/>
        <w:ind w:left="426"/>
        <w:jc w:val="both"/>
        <w:rPr>
          <w:rFonts w:ascii="Cambria" w:eastAsia="Cambria" w:hAnsi="Cambria" w:cs="Cambria"/>
          <w:sz w:val="24"/>
          <w:szCs w:val="24"/>
        </w:rPr>
      </w:pPr>
    </w:p>
    <w:p w14:paraId="0E60300D" w14:textId="4660CE2C" w:rsidR="00A1098C" w:rsidRDefault="00FF1029" w:rsidP="00D61984">
      <w:pPr>
        <w:spacing w:line="360" w:lineRule="auto"/>
        <w:ind w:left="426"/>
        <w:jc w:val="both"/>
        <w:rPr>
          <w:rFonts w:ascii="Cambria" w:eastAsia="Cambria" w:hAnsi="Cambria" w:cs="Cambria"/>
          <w:sz w:val="24"/>
          <w:szCs w:val="24"/>
        </w:rPr>
      </w:pPr>
      <w:r w:rsidRPr="00A002F3">
        <w:rPr>
          <w:rFonts w:ascii="Cambria" w:eastAsia="Cambria" w:hAnsi="Cambria" w:cs="Cambria"/>
          <w:sz w:val="24"/>
          <w:szCs w:val="24"/>
        </w:rPr>
        <w:t>Los bienes inmuebles actualmente no están sujetos a depreciación, y se encuentran registrados como sigue:</w:t>
      </w:r>
    </w:p>
    <w:p w14:paraId="587335F4" w14:textId="06CE61C7" w:rsidR="001C1376" w:rsidRDefault="00EE57CE" w:rsidP="00D145A1">
      <w:pPr>
        <w:ind w:left="426"/>
        <w:jc w:val="center"/>
        <w:rPr>
          <w:rFonts w:ascii="Arial" w:eastAsia="Cambria" w:hAnsi="Arial" w:cs="Arial"/>
        </w:rPr>
      </w:pPr>
      <w:r w:rsidRPr="00EE57CE">
        <w:rPr>
          <w:noProof/>
          <w:lang w:eastAsia="es-MX"/>
        </w:rPr>
        <w:drawing>
          <wp:inline distT="0" distB="0" distL="0" distR="0" wp14:anchorId="0C4C50F8" wp14:editId="7F4C97F1">
            <wp:extent cx="5486400" cy="1995170"/>
            <wp:effectExtent l="0" t="0" r="0" b="508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1995170"/>
                    </a:xfrm>
                    <a:prstGeom prst="rect">
                      <a:avLst/>
                    </a:prstGeom>
                    <a:noFill/>
                    <a:ln>
                      <a:noFill/>
                    </a:ln>
                  </pic:spPr>
                </pic:pic>
              </a:graphicData>
            </a:graphic>
          </wp:inline>
        </w:drawing>
      </w:r>
    </w:p>
    <w:p w14:paraId="3689D248" w14:textId="77777777" w:rsidR="00D145A1" w:rsidRDefault="00D145A1" w:rsidP="00D145A1">
      <w:pPr>
        <w:ind w:left="426"/>
        <w:jc w:val="center"/>
        <w:rPr>
          <w:rFonts w:ascii="Arial" w:eastAsia="Cambria" w:hAnsi="Arial" w:cs="Arial"/>
        </w:rPr>
      </w:pPr>
    </w:p>
    <w:p w14:paraId="3B0B9CAA" w14:textId="790AE066" w:rsidR="00FF1029" w:rsidRPr="00D61984" w:rsidRDefault="00FF1029" w:rsidP="00791B45">
      <w:pPr>
        <w:spacing w:line="360" w:lineRule="auto"/>
        <w:ind w:left="426"/>
        <w:jc w:val="both"/>
        <w:rPr>
          <w:rFonts w:ascii="Arial" w:eastAsia="Cambria" w:hAnsi="Arial" w:cs="Arial"/>
        </w:rPr>
      </w:pPr>
      <w:r w:rsidRPr="00D61984">
        <w:rPr>
          <w:rFonts w:ascii="Arial" w:eastAsia="Cambria" w:hAnsi="Arial" w:cs="Arial"/>
        </w:rPr>
        <w:lastRenderedPageBreak/>
        <w:t>La depreciación de los activos se calcula utilizando el método lineal, distribuyéndose en forma sistemá</w:t>
      </w:r>
      <w:r w:rsidR="00927878" w:rsidRPr="00D61984">
        <w:rPr>
          <w:rFonts w:ascii="Arial" w:eastAsia="Cambria" w:hAnsi="Arial" w:cs="Arial"/>
        </w:rPr>
        <w:t>tica a lo largo de su vida útil.</w:t>
      </w:r>
    </w:p>
    <w:p w14:paraId="4785EA04" w14:textId="7DA71E1C" w:rsidR="00FF1029" w:rsidRDefault="001C1376" w:rsidP="00EC0F98">
      <w:pPr>
        <w:ind w:left="426"/>
        <w:jc w:val="center"/>
        <w:rPr>
          <w:rFonts w:ascii="Cambria" w:eastAsia="Cambria" w:hAnsi="Cambria" w:cs="Cambria"/>
          <w:sz w:val="24"/>
          <w:szCs w:val="24"/>
        </w:rPr>
      </w:pPr>
      <w:r w:rsidRPr="001C1376">
        <w:rPr>
          <w:noProof/>
          <w:lang w:eastAsia="es-MX"/>
        </w:rPr>
        <w:drawing>
          <wp:inline distT="0" distB="0" distL="0" distR="0" wp14:anchorId="25128200" wp14:editId="7877B941">
            <wp:extent cx="5486382" cy="2695699"/>
            <wp:effectExtent l="0" t="0" r="635"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99104" cy="2701950"/>
                    </a:xfrm>
                    <a:prstGeom prst="rect">
                      <a:avLst/>
                    </a:prstGeom>
                    <a:noFill/>
                    <a:ln>
                      <a:noFill/>
                    </a:ln>
                  </pic:spPr>
                </pic:pic>
              </a:graphicData>
            </a:graphic>
          </wp:inline>
        </w:drawing>
      </w:r>
    </w:p>
    <w:p w14:paraId="0CAE107F" w14:textId="5048F500" w:rsidR="00554417" w:rsidRDefault="00FF1029" w:rsidP="00783261">
      <w:pPr>
        <w:spacing w:line="276" w:lineRule="auto"/>
        <w:ind w:left="426"/>
        <w:jc w:val="both"/>
        <w:rPr>
          <w:rFonts w:ascii="Arial" w:eastAsia="Cambria" w:hAnsi="Arial" w:cs="Arial"/>
        </w:rPr>
      </w:pPr>
      <w:r w:rsidRPr="00D61984">
        <w:rPr>
          <w:rFonts w:ascii="Arial" w:eastAsia="Cambria" w:hAnsi="Arial" w:cs="Arial"/>
        </w:rPr>
        <w:t>La depreciación anual se determina dividiendo el primer costo del activo menos su valor de salvamento por la vida útil del activo, sin considerar los valores de desecho, a las tasas que se indican a continuación:</w:t>
      </w:r>
    </w:p>
    <w:tbl>
      <w:tblPr>
        <w:tblpPr w:leftFromText="141" w:rightFromText="141" w:vertAnchor="text" w:horzAnchor="margin" w:tblpXSpec="center" w:tblpY="68"/>
        <w:tblW w:w="9496" w:type="dxa"/>
        <w:tblCellMar>
          <w:left w:w="70" w:type="dxa"/>
          <w:right w:w="70" w:type="dxa"/>
        </w:tblCellMar>
        <w:tblLook w:val="04A0" w:firstRow="1" w:lastRow="0" w:firstColumn="1" w:lastColumn="0" w:noHBand="0" w:noVBand="1"/>
      </w:tblPr>
      <w:tblGrid>
        <w:gridCol w:w="7023"/>
        <w:gridCol w:w="2473"/>
      </w:tblGrid>
      <w:tr w:rsidR="00D145A1" w:rsidRPr="00A002F3" w14:paraId="5647C479" w14:textId="77777777" w:rsidTr="00D145A1">
        <w:trPr>
          <w:trHeight w:val="109"/>
        </w:trPr>
        <w:tc>
          <w:tcPr>
            <w:tcW w:w="9496" w:type="dxa"/>
            <w:gridSpan w:val="2"/>
            <w:tcBorders>
              <w:top w:val="single" w:sz="4" w:space="0" w:color="auto"/>
              <w:left w:val="single" w:sz="4" w:space="0" w:color="auto"/>
              <w:bottom w:val="single" w:sz="4" w:space="0" w:color="auto"/>
              <w:right w:val="single" w:sz="4" w:space="0" w:color="auto"/>
            </w:tcBorders>
            <w:shd w:val="clear" w:color="000000" w:fill="DFEBF5" w:themeFill="accent1" w:themeFillTint="33"/>
            <w:vAlign w:val="center"/>
            <w:hideMark/>
          </w:tcPr>
          <w:p w14:paraId="2E1E2A41" w14:textId="77777777" w:rsidR="00D145A1" w:rsidRPr="00A002F3" w:rsidRDefault="00D145A1" w:rsidP="00D145A1">
            <w:pPr>
              <w:spacing w:after="0" w:line="240" w:lineRule="auto"/>
              <w:ind w:left="426"/>
              <w:jc w:val="center"/>
              <w:rPr>
                <w:rFonts w:ascii="Cambria" w:hAnsi="Cambria"/>
                <w:b/>
                <w:bCs/>
              </w:rPr>
            </w:pPr>
            <w:r w:rsidRPr="00A002F3">
              <w:rPr>
                <w:rFonts w:ascii="Cambria" w:hAnsi="Cambria"/>
                <w:b/>
                <w:bCs/>
              </w:rPr>
              <w:t>PORCENTAJES DEPRECIACIÓN CONAC</w:t>
            </w:r>
          </w:p>
        </w:tc>
      </w:tr>
      <w:tr w:rsidR="00D145A1" w:rsidRPr="00A002F3" w14:paraId="369B6218" w14:textId="77777777" w:rsidTr="00D145A1">
        <w:trPr>
          <w:trHeight w:val="220"/>
        </w:trPr>
        <w:tc>
          <w:tcPr>
            <w:tcW w:w="7023" w:type="dxa"/>
            <w:tcBorders>
              <w:top w:val="nil"/>
              <w:left w:val="single" w:sz="4" w:space="0" w:color="auto"/>
              <w:bottom w:val="single" w:sz="4" w:space="0" w:color="auto"/>
              <w:right w:val="single" w:sz="4" w:space="0" w:color="auto"/>
            </w:tcBorders>
            <w:shd w:val="clear" w:color="000000" w:fill="DFEBF5" w:themeFill="accent1" w:themeFillTint="33"/>
            <w:noWrap/>
            <w:vAlign w:val="center"/>
            <w:hideMark/>
          </w:tcPr>
          <w:p w14:paraId="1A492D07" w14:textId="77777777" w:rsidR="00D145A1" w:rsidRPr="00A002F3" w:rsidRDefault="00D145A1" w:rsidP="00D145A1">
            <w:pPr>
              <w:spacing w:after="0" w:line="240" w:lineRule="auto"/>
              <w:ind w:left="426"/>
              <w:jc w:val="center"/>
              <w:rPr>
                <w:rFonts w:ascii="Cambria" w:hAnsi="Cambria"/>
                <w:b/>
                <w:bCs/>
              </w:rPr>
            </w:pPr>
            <w:r w:rsidRPr="00A002F3">
              <w:rPr>
                <w:rFonts w:ascii="Cambria" w:hAnsi="Cambria"/>
                <w:b/>
                <w:bCs/>
              </w:rPr>
              <w:t>Rubro</w:t>
            </w:r>
          </w:p>
        </w:tc>
        <w:tc>
          <w:tcPr>
            <w:tcW w:w="2473" w:type="dxa"/>
            <w:tcBorders>
              <w:top w:val="nil"/>
              <w:left w:val="nil"/>
              <w:bottom w:val="single" w:sz="4" w:space="0" w:color="auto"/>
              <w:right w:val="single" w:sz="4" w:space="0" w:color="auto"/>
            </w:tcBorders>
            <w:shd w:val="clear" w:color="000000" w:fill="DFEBF5" w:themeFill="accent1" w:themeFillTint="33"/>
            <w:vAlign w:val="center"/>
            <w:hideMark/>
          </w:tcPr>
          <w:p w14:paraId="04511B92" w14:textId="77777777" w:rsidR="00D145A1" w:rsidRPr="00A002F3" w:rsidRDefault="00D145A1" w:rsidP="00D145A1">
            <w:pPr>
              <w:spacing w:after="0" w:line="240" w:lineRule="auto"/>
              <w:ind w:left="426"/>
              <w:jc w:val="center"/>
              <w:rPr>
                <w:rFonts w:ascii="Cambria" w:hAnsi="Cambria"/>
                <w:b/>
                <w:bCs/>
              </w:rPr>
            </w:pPr>
            <w:r w:rsidRPr="00A002F3">
              <w:rPr>
                <w:rFonts w:ascii="Cambria" w:hAnsi="Cambria"/>
                <w:b/>
                <w:bCs/>
              </w:rPr>
              <w:t>% de Depreciación Anual</w:t>
            </w:r>
          </w:p>
        </w:tc>
      </w:tr>
      <w:tr w:rsidR="00D145A1" w:rsidRPr="00A002F3" w14:paraId="44175954" w14:textId="77777777" w:rsidTr="00D145A1">
        <w:trPr>
          <w:trHeight w:val="115"/>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020EF316" w14:textId="77777777" w:rsidR="00D145A1" w:rsidRPr="00A002F3" w:rsidRDefault="00D145A1" w:rsidP="00D145A1">
            <w:pPr>
              <w:spacing w:after="0" w:line="240" w:lineRule="auto"/>
              <w:ind w:left="426"/>
              <w:jc w:val="both"/>
              <w:rPr>
                <w:rFonts w:ascii="Cambria" w:hAnsi="Cambria"/>
              </w:rPr>
            </w:pPr>
            <w:r w:rsidRPr="00A002F3">
              <w:rPr>
                <w:rFonts w:ascii="Cambria" w:hAnsi="Cambria"/>
              </w:rPr>
              <w:t>Viviendas</w:t>
            </w:r>
          </w:p>
        </w:tc>
        <w:tc>
          <w:tcPr>
            <w:tcW w:w="2473" w:type="dxa"/>
            <w:tcBorders>
              <w:top w:val="nil"/>
              <w:left w:val="nil"/>
              <w:bottom w:val="single" w:sz="4" w:space="0" w:color="auto"/>
              <w:right w:val="single" w:sz="4" w:space="0" w:color="auto"/>
            </w:tcBorders>
            <w:shd w:val="clear" w:color="auto" w:fill="auto"/>
            <w:vAlign w:val="center"/>
            <w:hideMark/>
          </w:tcPr>
          <w:p w14:paraId="12904798" w14:textId="77777777" w:rsidR="00D145A1" w:rsidRPr="00A002F3" w:rsidRDefault="00D145A1" w:rsidP="00D145A1">
            <w:pPr>
              <w:spacing w:after="0" w:line="240" w:lineRule="auto"/>
              <w:ind w:left="426"/>
              <w:jc w:val="center"/>
              <w:rPr>
                <w:rFonts w:ascii="Cambria" w:hAnsi="Cambria"/>
              </w:rPr>
            </w:pPr>
            <w:r w:rsidRPr="00A002F3">
              <w:rPr>
                <w:rFonts w:ascii="Cambria" w:hAnsi="Cambria"/>
              </w:rPr>
              <w:t>2</w:t>
            </w:r>
          </w:p>
        </w:tc>
      </w:tr>
      <w:tr w:rsidR="00D145A1" w:rsidRPr="00A002F3" w14:paraId="4155B9A3" w14:textId="77777777" w:rsidTr="00D145A1">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4ECAC474" w14:textId="77777777" w:rsidR="00D145A1" w:rsidRPr="00A002F3" w:rsidRDefault="00D145A1" w:rsidP="00D145A1">
            <w:pPr>
              <w:spacing w:after="0" w:line="240" w:lineRule="auto"/>
              <w:ind w:left="426"/>
              <w:jc w:val="both"/>
              <w:rPr>
                <w:rFonts w:ascii="Cambria" w:hAnsi="Cambria"/>
              </w:rPr>
            </w:pPr>
            <w:r w:rsidRPr="00A002F3">
              <w:rPr>
                <w:rFonts w:ascii="Cambria" w:hAnsi="Cambria"/>
              </w:rPr>
              <w:t>Edificios No Habitacionales</w:t>
            </w:r>
          </w:p>
        </w:tc>
        <w:tc>
          <w:tcPr>
            <w:tcW w:w="2473" w:type="dxa"/>
            <w:tcBorders>
              <w:top w:val="nil"/>
              <w:left w:val="nil"/>
              <w:bottom w:val="single" w:sz="4" w:space="0" w:color="auto"/>
              <w:right w:val="single" w:sz="4" w:space="0" w:color="auto"/>
            </w:tcBorders>
            <w:shd w:val="clear" w:color="auto" w:fill="auto"/>
            <w:vAlign w:val="center"/>
            <w:hideMark/>
          </w:tcPr>
          <w:p w14:paraId="53DF8748" w14:textId="77777777" w:rsidR="00D145A1" w:rsidRPr="00A002F3" w:rsidRDefault="00D145A1" w:rsidP="00D145A1">
            <w:pPr>
              <w:spacing w:after="0" w:line="240" w:lineRule="auto"/>
              <w:ind w:left="426"/>
              <w:jc w:val="center"/>
              <w:rPr>
                <w:rFonts w:ascii="Cambria" w:hAnsi="Cambria"/>
              </w:rPr>
            </w:pPr>
            <w:r w:rsidRPr="00A002F3">
              <w:rPr>
                <w:rFonts w:ascii="Cambria" w:hAnsi="Cambria"/>
              </w:rPr>
              <w:t>3.3</w:t>
            </w:r>
          </w:p>
        </w:tc>
      </w:tr>
      <w:tr w:rsidR="00D145A1" w:rsidRPr="00A002F3" w14:paraId="12125B60" w14:textId="77777777" w:rsidTr="00D145A1">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10BF6BF3" w14:textId="77777777" w:rsidR="00D145A1" w:rsidRPr="00A002F3" w:rsidRDefault="00D145A1" w:rsidP="00D145A1">
            <w:pPr>
              <w:spacing w:after="0" w:line="240" w:lineRule="auto"/>
              <w:ind w:left="426"/>
              <w:jc w:val="both"/>
              <w:rPr>
                <w:rFonts w:ascii="Cambria" w:hAnsi="Cambria"/>
              </w:rPr>
            </w:pPr>
            <w:r w:rsidRPr="00A002F3">
              <w:rPr>
                <w:rFonts w:ascii="Cambria" w:hAnsi="Cambria"/>
              </w:rPr>
              <w:t>Infraestructura</w:t>
            </w:r>
          </w:p>
        </w:tc>
        <w:tc>
          <w:tcPr>
            <w:tcW w:w="2473" w:type="dxa"/>
            <w:tcBorders>
              <w:top w:val="nil"/>
              <w:left w:val="nil"/>
              <w:bottom w:val="single" w:sz="4" w:space="0" w:color="auto"/>
              <w:right w:val="single" w:sz="4" w:space="0" w:color="auto"/>
            </w:tcBorders>
            <w:shd w:val="clear" w:color="auto" w:fill="auto"/>
            <w:vAlign w:val="center"/>
            <w:hideMark/>
          </w:tcPr>
          <w:p w14:paraId="1A9CF291" w14:textId="77777777" w:rsidR="00D145A1" w:rsidRPr="00A002F3" w:rsidRDefault="00D145A1" w:rsidP="00D145A1">
            <w:pPr>
              <w:spacing w:after="0" w:line="240" w:lineRule="auto"/>
              <w:ind w:left="426"/>
              <w:jc w:val="center"/>
              <w:rPr>
                <w:rFonts w:ascii="Cambria" w:hAnsi="Cambria"/>
              </w:rPr>
            </w:pPr>
            <w:r w:rsidRPr="00A002F3">
              <w:rPr>
                <w:rFonts w:ascii="Cambria" w:hAnsi="Cambria"/>
              </w:rPr>
              <w:t>4</w:t>
            </w:r>
          </w:p>
        </w:tc>
      </w:tr>
      <w:tr w:rsidR="00D145A1" w:rsidRPr="00A002F3" w14:paraId="0F5DE516" w14:textId="77777777" w:rsidTr="00D145A1">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65483C47" w14:textId="77777777" w:rsidR="00D145A1" w:rsidRPr="00A002F3" w:rsidRDefault="00D145A1" w:rsidP="00D145A1">
            <w:pPr>
              <w:spacing w:after="0" w:line="240" w:lineRule="auto"/>
              <w:ind w:left="426"/>
              <w:jc w:val="both"/>
              <w:rPr>
                <w:rFonts w:ascii="Cambria" w:hAnsi="Cambria"/>
              </w:rPr>
            </w:pPr>
            <w:r w:rsidRPr="00A002F3">
              <w:rPr>
                <w:rFonts w:ascii="Cambria" w:hAnsi="Cambria"/>
              </w:rPr>
              <w:t>Otros Bienes Inmuebles</w:t>
            </w:r>
          </w:p>
        </w:tc>
        <w:tc>
          <w:tcPr>
            <w:tcW w:w="2473" w:type="dxa"/>
            <w:tcBorders>
              <w:top w:val="nil"/>
              <w:left w:val="nil"/>
              <w:bottom w:val="single" w:sz="4" w:space="0" w:color="auto"/>
              <w:right w:val="single" w:sz="4" w:space="0" w:color="auto"/>
            </w:tcBorders>
            <w:shd w:val="clear" w:color="auto" w:fill="auto"/>
            <w:vAlign w:val="center"/>
            <w:hideMark/>
          </w:tcPr>
          <w:p w14:paraId="1F3D57CC" w14:textId="77777777" w:rsidR="00D145A1" w:rsidRPr="00A002F3" w:rsidRDefault="00D145A1" w:rsidP="00D145A1">
            <w:pPr>
              <w:spacing w:after="0" w:line="240" w:lineRule="auto"/>
              <w:ind w:left="426"/>
              <w:jc w:val="center"/>
              <w:rPr>
                <w:rFonts w:ascii="Cambria" w:hAnsi="Cambria"/>
              </w:rPr>
            </w:pPr>
            <w:r w:rsidRPr="00A002F3">
              <w:rPr>
                <w:rFonts w:ascii="Cambria" w:hAnsi="Cambria"/>
              </w:rPr>
              <w:t>5</w:t>
            </w:r>
          </w:p>
        </w:tc>
      </w:tr>
      <w:tr w:rsidR="00D145A1" w:rsidRPr="00A002F3" w14:paraId="63FC9AB2" w14:textId="77777777" w:rsidTr="00D145A1">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202A2468" w14:textId="77777777" w:rsidR="00D145A1" w:rsidRPr="00A002F3" w:rsidRDefault="00D145A1" w:rsidP="00D145A1">
            <w:pPr>
              <w:spacing w:after="0" w:line="240" w:lineRule="auto"/>
              <w:ind w:left="426"/>
              <w:jc w:val="both"/>
              <w:rPr>
                <w:rFonts w:ascii="Cambria" w:hAnsi="Cambria"/>
              </w:rPr>
            </w:pPr>
            <w:r w:rsidRPr="00A002F3">
              <w:rPr>
                <w:rFonts w:ascii="Cambria" w:hAnsi="Cambria"/>
              </w:rPr>
              <w:t>Muebles de Oficina y Estantería</w:t>
            </w:r>
          </w:p>
        </w:tc>
        <w:tc>
          <w:tcPr>
            <w:tcW w:w="2473" w:type="dxa"/>
            <w:tcBorders>
              <w:top w:val="nil"/>
              <w:left w:val="nil"/>
              <w:bottom w:val="single" w:sz="4" w:space="0" w:color="auto"/>
              <w:right w:val="single" w:sz="4" w:space="0" w:color="auto"/>
            </w:tcBorders>
            <w:shd w:val="clear" w:color="auto" w:fill="auto"/>
            <w:vAlign w:val="center"/>
            <w:hideMark/>
          </w:tcPr>
          <w:p w14:paraId="0BC37217" w14:textId="77777777" w:rsidR="00D145A1" w:rsidRPr="00A002F3" w:rsidRDefault="00D145A1" w:rsidP="00D145A1">
            <w:pPr>
              <w:spacing w:after="0" w:line="240" w:lineRule="auto"/>
              <w:ind w:left="426"/>
              <w:jc w:val="center"/>
              <w:rPr>
                <w:rFonts w:ascii="Cambria" w:hAnsi="Cambria"/>
              </w:rPr>
            </w:pPr>
            <w:r w:rsidRPr="00A002F3">
              <w:rPr>
                <w:rFonts w:ascii="Cambria" w:hAnsi="Cambria"/>
              </w:rPr>
              <w:t>10</w:t>
            </w:r>
          </w:p>
        </w:tc>
      </w:tr>
      <w:tr w:rsidR="00D145A1" w:rsidRPr="00A002F3" w14:paraId="0142E051" w14:textId="77777777" w:rsidTr="00D145A1">
        <w:trPr>
          <w:trHeight w:val="109"/>
        </w:trPr>
        <w:tc>
          <w:tcPr>
            <w:tcW w:w="7023" w:type="dxa"/>
            <w:tcBorders>
              <w:top w:val="single" w:sz="4" w:space="0" w:color="auto"/>
              <w:left w:val="single" w:sz="4" w:space="0" w:color="auto"/>
              <w:right w:val="single" w:sz="4" w:space="0" w:color="auto"/>
            </w:tcBorders>
            <w:shd w:val="clear" w:color="auto" w:fill="auto"/>
            <w:vAlign w:val="center"/>
            <w:hideMark/>
          </w:tcPr>
          <w:p w14:paraId="6CC77D4C" w14:textId="77777777" w:rsidR="00D145A1" w:rsidRPr="00A002F3" w:rsidRDefault="00D145A1" w:rsidP="00D145A1">
            <w:pPr>
              <w:spacing w:after="0" w:line="240" w:lineRule="auto"/>
              <w:ind w:left="426"/>
              <w:rPr>
                <w:rFonts w:ascii="Cambria" w:hAnsi="Cambria"/>
              </w:rPr>
            </w:pPr>
            <w:r w:rsidRPr="00A002F3">
              <w:rPr>
                <w:rFonts w:ascii="Cambria" w:hAnsi="Cambria"/>
              </w:rPr>
              <w:t>Muebles, Excepto De Oficina Y Estantería</w:t>
            </w:r>
          </w:p>
        </w:tc>
        <w:tc>
          <w:tcPr>
            <w:tcW w:w="2473" w:type="dxa"/>
            <w:tcBorders>
              <w:top w:val="single" w:sz="4" w:space="0" w:color="auto"/>
              <w:left w:val="nil"/>
              <w:right w:val="single" w:sz="4" w:space="0" w:color="auto"/>
            </w:tcBorders>
            <w:shd w:val="clear" w:color="auto" w:fill="auto"/>
            <w:vAlign w:val="center"/>
            <w:hideMark/>
          </w:tcPr>
          <w:p w14:paraId="3C1EB642" w14:textId="77777777" w:rsidR="00D145A1" w:rsidRPr="00A002F3" w:rsidRDefault="00D145A1" w:rsidP="00D145A1">
            <w:pPr>
              <w:spacing w:after="0" w:line="240" w:lineRule="auto"/>
              <w:ind w:left="426"/>
              <w:jc w:val="center"/>
              <w:rPr>
                <w:rFonts w:ascii="Cambria" w:hAnsi="Cambria"/>
              </w:rPr>
            </w:pPr>
            <w:r w:rsidRPr="00A002F3">
              <w:rPr>
                <w:rFonts w:ascii="Cambria" w:hAnsi="Cambria"/>
              </w:rPr>
              <w:t>10</w:t>
            </w:r>
          </w:p>
        </w:tc>
      </w:tr>
      <w:tr w:rsidR="00D145A1" w:rsidRPr="00A002F3" w14:paraId="575CA676" w14:textId="77777777" w:rsidTr="00D145A1">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7DA42AD6" w14:textId="77777777" w:rsidR="00D145A1" w:rsidRPr="00A002F3" w:rsidRDefault="00D145A1" w:rsidP="00D145A1">
            <w:pPr>
              <w:spacing w:after="0" w:line="240" w:lineRule="auto"/>
              <w:ind w:left="426"/>
              <w:rPr>
                <w:rFonts w:ascii="Cambria" w:hAnsi="Cambria"/>
              </w:rPr>
            </w:pPr>
            <w:r w:rsidRPr="00A002F3">
              <w:rPr>
                <w:rFonts w:ascii="Cambria" w:hAnsi="Cambria"/>
              </w:rPr>
              <w:t>Equipo de Cómputo y de Tecnologías de la Información</w:t>
            </w:r>
          </w:p>
        </w:tc>
        <w:tc>
          <w:tcPr>
            <w:tcW w:w="2473" w:type="dxa"/>
            <w:tcBorders>
              <w:top w:val="nil"/>
              <w:left w:val="nil"/>
              <w:bottom w:val="single" w:sz="4" w:space="0" w:color="auto"/>
              <w:right w:val="single" w:sz="4" w:space="0" w:color="auto"/>
            </w:tcBorders>
            <w:shd w:val="clear" w:color="auto" w:fill="auto"/>
            <w:vAlign w:val="center"/>
            <w:hideMark/>
          </w:tcPr>
          <w:p w14:paraId="1E0C426A" w14:textId="77777777" w:rsidR="00D145A1" w:rsidRPr="00A002F3" w:rsidRDefault="00D145A1" w:rsidP="00D145A1">
            <w:pPr>
              <w:spacing w:after="0" w:line="240" w:lineRule="auto"/>
              <w:ind w:left="426"/>
              <w:jc w:val="center"/>
              <w:rPr>
                <w:rFonts w:ascii="Cambria" w:hAnsi="Cambria"/>
              </w:rPr>
            </w:pPr>
            <w:r w:rsidRPr="00A002F3">
              <w:rPr>
                <w:rFonts w:ascii="Cambria" w:hAnsi="Cambria"/>
              </w:rPr>
              <w:t>33.3</w:t>
            </w:r>
          </w:p>
        </w:tc>
      </w:tr>
      <w:tr w:rsidR="00D145A1" w:rsidRPr="00A002F3" w14:paraId="359AE85A" w14:textId="77777777" w:rsidTr="00D145A1">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186AE16C" w14:textId="77777777" w:rsidR="00D145A1" w:rsidRPr="00A002F3" w:rsidRDefault="00D145A1" w:rsidP="00D145A1">
            <w:pPr>
              <w:spacing w:after="0" w:line="240" w:lineRule="auto"/>
              <w:ind w:left="426"/>
              <w:jc w:val="both"/>
              <w:rPr>
                <w:rFonts w:ascii="Cambria" w:hAnsi="Cambria"/>
              </w:rPr>
            </w:pPr>
            <w:r w:rsidRPr="00A002F3">
              <w:rPr>
                <w:rFonts w:ascii="Cambria" w:hAnsi="Cambria"/>
              </w:rPr>
              <w:t>Otros Mobiliarios y Equipos de Administración</w:t>
            </w:r>
          </w:p>
        </w:tc>
        <w:tc>
          <w:tcPr>
            <w:tcW w:w="2473" w:type="dxa"/>
            <w:tcBorders>
              <w:top w:val="nil"/>
              <w:left w:val="nil"/>
              <w:bottom w:val="single" w:sz="4" w:space="0" w:color="auto"/>
              <w:right w:val="single" w:sz="4" w:space="0" w:color="auto"/>
            </w:tcBorders>
            <w:shd w:val="clear" w:color="auto" w:fill="auto"/>
            <w:vAlign w:val="center"/>
            <w:hideMark/>
          </w:tcPr>
          <w:p w14:paraId="5756BCEE" w14:textId="77777777" w:rsidR="00D145A1" w:rsidRPr="00A002F3" w:rsidRDefault="00D145A1" w:rsidP="00D145A1">
            <w:pPr>
              <w:spacing w:after="0" w:line="240" w:lineRule="auto"/>
              <w:ind w:left="426"/>
              <w:jc w:val="center"/>
              <w:rPr>
                <w:rFonts w:ascii="Cambria" w:hAnsi="Cambria"/>
              </w:rPr>
            </w:pPr>
            <w:r w:rsidRPr="00A002F3">
              <w:rPr>
                <w:rFonts w:ascii="Cambria" w:hAnsi="Cambria"/>
              </w:rPr>
              <w:t>10</w:t>
            </w:r>
          </w:p>
        </w:tc>
      </w:tr>
      <w:tr w:rsidR="00D145A1" w:rsidRPr="00A002F3" w14:paraId="43170631" w14:textId="77777777" w:rsidTr="00D145A1">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12D0A222" w14:textId="77777777" w:rsidR="00D145A1" w:rsidRPr="00A002F3" w:rsidRDefault="00D145A1" w:rsidP="00D145A1">
            <w:pPr>
              <w:spacing w:after="0" w:line="240" w:lineRule="auto"/>
              <w:ind w:left="426"/>
              <w:jc w:val="both"/>
              <w:rPr>
                <w:rFonts w:ascii="Cambria" w:hAnsi="Cambria"/>
              </w:rPr>
            </w:pPr>
            <w:r w:rsidRPr="00A002F3">
              <w:rPr>
                <w:rFonts w:ascii="Cambria" w:hAnsi="Cambria"/>
              </w:rPr>
              <w:t>Equipos y Aparatos Audiovisuales</w:t>
            </w:r>
          </w:p>
        </w:tc>
        <w:tc>
          <w:tcPr>
            <w:tcW w:w="2473" w:type="dxa"/>
            <w:tcBorders>
              <w:top w:val="nil"/>
              <w:left w:val="nil"/>
              <w:bottom w:val="single" w:sz="4" w:space="0" w:color="auto"/>
              <w:right w:val="single" w:sz="4" w:space="0" w:color="auto"/>
            </w:tcBorders>
            <w:shd w:val="clear" w:color="auto" w:fill="auto"/>
            <w:vAlign w:val="center"/>
            <w:hideMark/>
          </w:tcPr>
          <w:p w14:paraId="68E8B93B" w14:textId="77777777" w:rsidR="00D145A1" w:rsidRPr="00A002F3" w:rsidRDefault="00D145A1" w:rsidP="00D145A1">
            <w:pPr>
              <w:spacing w:after="0" w:line="240" w:lineRule="auto"/>
              <w:ind w:left="426"/>
              <w:jc w:val="center"/>
              <w:rPr>
                <w:rFonts w:ascii="Cambria" w:hAnsi="Cambria"/>
              </w:rPr>
            </w:pPr>
            <w:r w:rsidRPr="00A002F3">
              <w:rPr>
                <w:rFonts w:ascii="Cambria" w:hAnsi="Cambria"/>
              </w:rPr>
              <w:t>33.3</w:t>
            </w:r>
          </w:p>
        </w:tc>
      </w:tr>
      <w:tr w:rsidR="00D145A1" w:rsidRPr="00A002F3" w14:paraId="1A35E159" w14:textId="77777777" w:rsidTr="00D145A1">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65556602" w14:textId="77777777" w:rsidR="00D145A1" w:rsidRPr="00A002F3" w:rsidRDefault="00D145A1" w:rsidP="00D145A1">
            <w:pPr>
              <w:spacing w:after="0" w:line="240" w:lineRule="auto"/>
              <w:ind w:left="426"/>
              <w:jc w:val="both"/>
              <w:rPr>
                <w:rFonts w:ascii="Cambria" w:hAnsi="Cambria"/>
              </w:rPr>
            </w:pPr>
            <w:r w:rsidRPr="00A002F3">
              <w:rPr>
                <w:rFonts w:ascii="Cambria" w:hAnsi="Cambria"/>
              </w:rPr>
              <w:t>Aparatos Deportivos</w:t>
            </w:r>
          </w:p>
        </w:tc>
        <w:tc>
          <w:tcPr>
            <w:tcW w:w="2473" w:type="dxa"/>
            <w:tcBorders>
              <w:top w:val="nil"/>
              <w:left w:val="nil"/>
              <w:bottom w:val="single" w:sz="4" w:space="0" w:color="auto"/>
              <w:right w:val="single" w:sz="4" w:space="0" w:color="auto"/>
            </w:tcBorders>
            <w:shd w:val="clear" w:color="auto" w:fill="auto"/>
            <w:vAlign w:val="center"/>
            <w:hideMark/>
          </w:tcPr>
          <w:p w14:paraId="18373D43" w14:textId="77777777" w:rsidR="00D145A1" w:rsidRPr="00A002F3" w:rsidRDefault="00D145A1" w:rsidP="00D145A1">
            <w:pPr>
              <w:spacing w:after="0" w:line="240" w:lineRule="auto"/>
              <w:ind w:left="426"/>
              <w:jc w:val="center"/>
              <w:rPr>
                <w:rFonts w:ascii="Cambria" w:hAnsi="Cambria"/>
              </w:rPr>
            </w:pPr>
            <w:r w:rsidRPr="00A002F3">
              <w:rPr>
                <w:rFonts w:ascii="Cambria" w:hAnsi="Cambria"/>
              </w:rPr>
              <w:t>20</w:t>
            </w:r>
          </w:p>
        </w:tc>
      </w:tr>
      <w:tr w:rsidR="00D145A1" w:rsidRPr="00A002F3" w14:paraId="0F0E26E2" w14:textId="77777777" w:rsidTr="00D145A1">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2012DB0A" w14:textId="77777777" w:rsidR="00D145A1" w:rsidRPr="00A002F3" w:rsidRDefault="00D145A1" w:rsidP="00D145A1">
            <w:pPr>
              <w:spacing w:after="0" w:line="240" w:lineRule="auto"/>
              <w:ind w:left="426"/>
              <w:jc w:val="both"/>
              <w:rPr>
                <w:rFonts w:ascii="Cambria" w:hAnsi="Cambria"/>
              </w:rPr>
            </w:pPr>
            <w:r w:rsidRPr="00A002F3">
              <w:rPr>
                <w:rFonts w:ascii="Cambria" w:hAnsi="Cambria"/>
              </w:rPr>
              <w:t>Cámaras Fotográficas y de Video</w:t>
            </w:r>
          </w:p>
        </w:tc>
        <w:tc>
          <w:tcPr>
            <w:tcW w:w="2473" w:type="dxa"/>
            <w:tcBorders>
              <w:top w:val="nil"/>
              <w:left w:val="nil"/>
              <w:bottom w:val="single" w:sz="4" w:space="0" w:color="auto"/>
              <w:right w:val="single" w:sz="4" w:space="0" w:color="auto"/>
            </w:tcBorders>
            <w:shd w:val="clear" w:color="auto" w:fill="auto"/>
            <w:vAlign w:val="center"/>
            <w:hideMark/>
          </w:tcPr>
          <w:p w14:paraId="0E69E1F5" w14:textId="77777777" w:rsidR="00D145A1" w:rsidRPr="00A002F3" w:rsidRDefault="00D145A1" w:rsidP="00D145A1">
            <w:pPr>
              <w:spacing w:after="0" w:line="240" w:lineRule="auto"/>
              <w:ind w:left="426"/>
              <w:jc w:val="center"/>
              <w:rPr>
                <w:rFonts w:ascii="Cambria" w:hAnsi="Cambria"/>
              </w:rPr>
            </w:pPr>
            <w:r w:rsidRPr="00A002F3">
              <w:rPr>
                <w:rFonts w:ascii="Cambria" w:hAnsi="Cambria"/>
              </w:rPr>
              <w:t>33.3</w:t>
            </w:r>
          </w:p>
        </w:tc>
      </w:tr>
      <w:tr w:rsidR="00D145A1" w:rsidRPr="00A002F3" w14:paraId="644A9761" w14:textId="77777777" w:rsidTr="00D145A1">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2CF66C64" w14:textId="77777777" w:rsidR="00D145A1" w:rsidRPr="00A002F3" w:rsidRDefault="00D145A1" w:rsidP="00D145A1">
            <w:pPr>
              <w:spacing w:after="0" w:line="240" w:lineRule="auto"/>
              <w:ind w:left="426"/>
              <w:jc w:val="both"/>
              <w:rPr>
                <w:rFonts w:ascii="Cambria" w:hAnsi="Cambria"/>
              </w:rPr>
            </w:pPr>
            <w:r w:rsidRPr="00A002F3">
              <w:rPr>
                <w:rFonts w:ascii="Cambria" w:hAnsi="Cambria"/>
              </w:rPr>
              <w:t>Otro Mobiliario y Equipo Educacional y Recreativo</w:t>
            </w:r>
          </w:p>
        </w:tc>
        <w:tc>
          <w:tcPr>
            <w:tcW w:w="2473" w:type="dxa"/>
            <w:tcBorders>
              <w:top w:val="nil"/>
              <w:left w:val="nil"/>
              <w:bottom w:val="single" w:sz="4" w:space="0" w:color="auto"/>
              <w:right w:val="single" w:sz="4" w:space="0" w:color="auto"/>
            </w:tcBorders>
            <w:shd w:val="clear" w:color="auto" w:fill="auto"/>
            <w:vAlign w:val="center"/>
            <w:hideMark/>
          </w:tcPr>
          <w:p w14:paraId="04A90C54" w14:textId="77777777" w:rsidR="00D145A1" w:rsidRPr="00A002F3" w:rsidRDefault="00D145A1" w:rsidP="00D145A1">
            <w:pPr>
              <w:spacing w:after="0" w:line="240" w:lineRule="auto"/>
              <w:ind w:left="426"/>
              <w:jc w:val="center"/>
              <w:rPr>
                <w:rFonts w:ascii="Cambria" w:hAnsi="Cambria"/>
              </w:rPr>
            </w:pPr>
            <w:r w:rsidRPr="00A002F3">
              <w:rPr>
                <w:rFonts w:ascii="Cambria" w:hAnsi="Cambria"/>
              </w:rPr>
              <w:t>20</w:t>
            </w:r>
          </w:p>
        </w:tc>
      </w:tr>
      <w:tr w:rsidR="00D145A1" w:rsidRPr="00A002F3" w14:paraId="5289D205" w14:textId="77777777" w:rsidTr="00D145A1">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1C9E4C2B" w14:textId="77777777" w:rsidR="00D145A1" w:rsidRPr="00A002F3" w:rsidRDefault="00D145A1" w:rsidP="00D145A1">
            <w:pPr>
              <w:spacing w:after="0" w:line="240" w:lineRule="auto"/>
              <w:ind w:left="426"/>
              <w:jc w:val="both"/>
              <w:rPr>
                <w:rFonts w:ascii="Cambria" w:hAnsi="Cambria"/>
              </w:rPr>
            </w:pPr>
            <w:r w:rsidRPr="00A002F3">
              <w:rPr>
                <w:rFonts w:ascii="Cambria" w:hAnsi="Cambria"/>
              </w:rPr>
              <w:t>Equipo Médico y de Laboratorio</w:t>
            </w:r>
          </w:p>
        </w:tc>
        <w:tc>
          <w:tcPr>
            <w:tcW w:w="2473" w:type="dxa"/>
            <w:tcBorders>
              <w:top w:val="nil"/>
              <w:left w:val="nil"/>
              <w:bottom w:val="single" w:sz="4" w:space="0" w:color="auto"/>
              <w:right w:val="single" w:sz="4" w:space="0" w:color="auto"/>
            </w:tcBorders>
            <w:shd w:val="clear" w:color="auto" w:fill="auto"/>
            <w:vAlign w:val="center"/>
            <w:hideMark/>
          </w:tcPr>
          <w:p w14:paraId="7FDCBE9F" w14:textId="77777777" w:rsidR="00D145A1" w:rsidRPr="00A002F3" w:rsidRDefault="00D145A1" w:rsidP="00D145A1">
            <w:pPr>
              <w:spacing w:after="0" w:line="240" w:lineRule="auto"/>
              <w:ind w:left="426"/>
              <w:jc w:val="center"/>
              <w:rPr>
                <w:rFonts w:ascii="Cambria" w:hAnsi="Cambria"/>
              </w:rPr>
            </w:pPr>
            <w:r w:rsidRPr="00A002F3">
              <w:rPr>
                <w:rFonts w:ascii="Cambria" w:hAnsi="Cambria"/>
              </w:rPr>
              <w:t>20</w:t>
            </w:r>
          </w:p>
        </w:tc>
      </w:tr>
      <w:tr w:rsidR="00D145A1" w:rsidRPr="00A002F3" w14:paraId="7069A9D2" w14:textId="77777777" w:rsidTr="00D145A1">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0C4AF830" w14:textId="77777777" w:rsidR="00D145A1" w:rsidRPr="00A002F3" w:rsidRDefault="00D145A1" w:rsidP="00D145A1">
            <w:pPr>
              <w:spacing w:after="0" w:line="240" w:lineRule="auto"/>
              <w:ind w:left="426"/>
              <w:jc w:val="both"/>
              <w:rPr>
                <w:rFonts w:ascii="Cambria" w:hAnsi="Cambria"/>
              </w:rPr>
            </w:pPr>
            <w:r w:rsidRPr="00A002F3">
              <w:rPr>
                <w:rFonts w:ascii="Cambria" w:hAnsi="Cambria"/>
              </w:rPr>
              <w:t>Instrumental Médico y de Laboratorio</w:t>
            </w:r>
          </w:p>
        </w:tc>
        <w:tc>
          <w:tcPr>
            <w:tcW w:w="2473" w:type="dxa"/>
            <w:tcBorders>
              <w:top w:val="nil"/>
              <w:left w:val="nil"/>
              <w:bottom w:val="single" w:sz="4" w:space="0" w:color="auto"/>
              <w:right w:val="single" w:sz="4" w:space="0" w:color="auto"/>
            </w:tcBorders>
            <w:shd w:val="clear" w:color="auto" w:fill="auto"/>
            <w:vAlign w:val="center"/>
            <w:hideMark/>
          </w:tcPr>
          <w:p w14:paraId="33201245" w14:textId="77777777" w:rsidR="00D145A1" w:rsidRPr="00A002F3" w:rsidRDefault="00D145A1" w:rsidP="00D145A1">
            <w:pPr>
              <w:spacing w:after="0" w:line="240" w:lineRule="auto"/>
              <w:ind w:left="426"/>
              <w:jc w:val="center"/>
              <w:rPr>
                <w:rFonts w:ascii="Cambria" w:hAnsi="Cambria"/>
              </w:rPr>
            </w:pPr>
            <w:r w:rsidRPr="00A002F3">
              <w:rPr>
                <w:rFonts w:ascii="Cambria" w:hAnsi="Cambria"/>
              </w:rPr>
              <w:t>20</w:t>
            </w:r>
          </w:p>
        </w:tc>
      </w:tr>
      <w:tr w:rsidR="00D145A1" w:rsidRPr="00A002F3" w14:paraId="1F8973A5" w14:textId="77777777" w:rsidTr="00D145A1">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20A4C571" w14:textId="77777777" w:rsidR="00D145A1" w:rsidRPr="00A002F3" w:rsidRDefault="00D145A1" w:rsidP="00D145A1">
            <w:pPr>
              <w:spacing w:after="0" w:line="240" w:lineRule="auto"/>
              <w:ind w:left="426"/>
              <w:jc w:val="both"/>
              <w:rPr>
                <w:rFonts w:ascii="Cambria" w:hAnsi="Cambria"/>
              </w:rPr>
            </w:pPr>
            <w:r w:rsidRPr="00A002F3">
              <w:rPr>
                <w:rFonts w:ascii="Cambria" w:hAnsi="Cambria"/>
              </w:rPr>
              <w:t>Automóviles y Equipo Terrestre</w:t>
            </w:r>
          </w:p>
        </w:tc>
        <w:tc>
          <w:tcPr>
            <w:tcW w:w="2473" w:type="dxa"/>
            <w:tcBorders>
              <w:top w:val="nil"/>
              <w:left w:val="nil"/>
              <w:bottom w:val="single" w:sz="4" w:space="0" w:color="auto"/>
              <w:right w:val="single" w:sz="4" w:space="0" w:color="auto"/>
            </w:tcBorders>
            <w:shd w:val="clear" w:color="auto" w:fill="auto"/>
            <w:vAlign w:val="center"/>
            <w:hideMark/>
          </w:tcPr>
          <w:p w14:paraId="6C37461B" w14:textId="77777777" w:rsidR="00D145A1" w:rsidRPr="00A002F3" w:rsidRDefault="00D145A1" w:rsidP="00D145A1">
            <w:pPr>
              <w:spacing w:after="0" w:line="240" w:lineRule="auto"/>
              <w:ind w:left="426"/>
              <w:jc w:val="center"/>
              <w:rPr>
                <w:rFonts w:ascii="Cambria" w:hAnsi="Cambria"/>
              </w:rPr>
            </w:pPr>
            <w:r w:rsidRPr="00A002F3">
              <w:rPr>
                <w:rFonts w:ascii="Cambria" w:hAnsi="Cambria"/>
              </w:rPr>
              <w:t>20</w:t>
            </w:r>
          </w:p>
        </w:tc>
      </w:tr>
      <w:tr w:rsidR="00D145A1" w:rsidRPr="00A002F3" w14:paraId="53DE285B" w14:textId="77777777" w:rsidTr="00D145A1">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772641E7" w14:textId="77777777" w:rsidR="00D145A1" w:rsidRPr="00A002F3" w:rsidRDefault="00D145A1" w:rsidP="00D145A1">
            <w:pPr>
              <w:spacing w:after="0" w:line="240" w:lineRule="auto"/>
              <w:ind w:left="426"/>
              <w:jc w:val="both"/>
              <w:rPr>
                <w:rFonts w:ascii="Cambria" w:hAnsi="Cambria"/>
              </w:rPr>
            </w:pPr>
            <w:r w:rsidRPr="00A002F3">
              <w:rPr>
                <w:rFonts w:ascii="Cambria" w:hAnsi="Cambria"/>
              </w:rPr>
              <w:t>Carrocerías y Remolques</w:t>
            </w:r>
          </w:p>
        </w:tc>
        <w:tc>
          <w:tcPr>
            <w:tcW w:w="2473" w:type="dxa"/>
            <w:tcBorders>
              <w:top w:val="nil"/>
              <w:left w:val="nil"/>
              <w:bottom w:val="single" w:sz="4" w:space="0" w:color="auto"/>
              <w:right w:val="single" w:sz="4" w:space="0" w:color="auto"/>
            </w:tcBorders>
            <w:shd w:val="clear" w:color="auto" w:fill="auto"/>
            <w:vAlign w:val="center"/>
            <w:hideMark/>
          </w:tcPr>
          <w:p w14:paraId="11BB2744" w14:textId="77777777" w:rsidR="00D145A1" w:rsidRPr="00A002F3" w:rsidRDefault="00D145A1" w:rsidP="00D145A1">
            <w:pPr>
              <w:spacing w:after="0" w:line="240" w:lineRule="auto"/>
              <w:ind w:left="426"/>
              <w:jc w:val="center"/>
              <w:rPr>
                <w:rFonts w:ascii="Cambria" w:hAnsi="Cambria"/>
              </w:rPr>
            </w:pPr>
            <w:r w:rsidRPr="00A002F3">
              <w:rPr>
                <w:rFonts w:ascii="Cambria" w:hAnsi="Cambria"/>
              </w:rPr>
              <w:t>20</w:t>
            </w:r>
          </w:p>
        </w:tc>
      </w:tr>
    </w:tbl>
    <w:p w14:paraId="7936714F" w14:textId="77777777" w:rsidR="0022452D" w:rsidRPr="00605D3D" w:rsidRDefault="00946FD1" w:rsidP="002C5230">
      <w:pPr>
        <w:ind w:left="426"/>
        <w:jc w:val="both"/>
        <w:rPr>
          <w:rFonts w:ascii="Cambria" w:eastAsia="Cambria" w:hAnsi="Cambria" w:cs="Cambria"/>
          <w:b/>
          <w:sz w:val="28"/>
          <w:szCs w:val="28"/>
          <w:u w:val="single"/>
        </w:rPr>
      </w:pPr>
      <w:r w:rsidRPr="00946FD1">
        <w:rPr>
          <w:rFonts w:ascii="Cambria" w:eastAsia="Cambria" w:hAnsi="Cambria" w:cs="Cambria"/>
          <w:b/>
          <w:sz w:val="28"/>
          <w:szCs w:val="28"/>
          <w:u w:val="single"/>
        </w:rPr>
        <w:lastRenderedPageBreak/>
        <w:t>Pasivo</w:t>
      </w:r>
    </w:p>
    <w:p w14:paraId="38A5E421" w14:textId="77777777" w:rsidR="008838F3" w:rsidRDefault="00946FD1" w:rsidP="008838F3">
      <w:pPr>
        <w:pStyle w:val="Prrafodelista"/>
        <w:numPr>
          <w:ilvl w:val="0"/>
          <w:numId w:val="12"/>
        </w:numPr>
        <w:spacing w:after="0" w:line="240" w:lineRule="auto"/>
        <w:jc w:val="both"/>
        <w:rPr>
          <w:rFonts w:ascii="Cambria" w:eastAsia="Cambria" w:hAnsi="Cambria" w:cs="Cambria"/>
          <w:b/>
          <w:sz w:val="24"/>
          <w:szCs w:val="24"/>
        </w:rPr>
      </w:pPr>
      <w:r w:rsidRPr="00946FD1">
        <w:rPr>
          <w:rFonts w:ascii="Cambria" w:eastAsia="Cambria" w:hAnsi="Cambria" w:cs="Cambria"/>
          <w:b/>
          <w:sz w:val="24"/>
          <w:szCs w:val="24"/>
        </w:rPr>
        <w:t>Deuda Contratada a Corto y Largo Plazo</w:t>
      </w:r>
    </w:p>
    <w:p w14:paraId="26D02321" w14:textId="77777777" w:rsidR="005D245C" w:rsidRDefault="005D245C" w:rsidP="005D245C">
      <w:pPr>
        <w:pStyle w:val="Prrafodelista"/>
        <w:spacing w:after="0" w:line="240" w:lineRule="auto"/>
        <w:ind w:left="786"/>
        <w:jc w:val="both"/>
        <w:rPr>
          <w:rFonts w:ascii="Cambria" w:eastAsia="Cambria" w:hAnsi="Cambria" w:cs="Cambria"/>
          <w:b/>
          <w:sz w:val="24"/>
          <w:szCs w:val="24"/>
        </w:rPr>
      </w:pPr>
    </w:p>
    <w:p w14:paraId="57F7C86E" w14:textId="77777777" w:rsidR="005D245C" w:rsidRDefault="007E079C" w:rsidP="005D245C">
      <w:pPr>
        <w:autoSpaceDE w:val="0"/>
        <w:autoSpaceDN w:val="0"/>
        <w:adjustRightInd w:val="0"/>
        <w:spacing w:after="0" w:line="360" w:lineRule="auto"/>
        <w:ind w:left="426"/>
        <w:jc w:val="both"/>
        <w:rPr>
          <w:rFonts w:ascii="Arial" w:eastAsia="Cambria" w:hAnsi="Arial" w:cs="Arial"/>
        </w:rPr>
      </w:pPr>
      <w:r>
        <w:rPr>
          <w:rFonts w:ascii="Arial" w:eastAsia="Cambria" w:hAnsi="Arial" w:cs="Arial"/>
        </w:rPr>
        <w:t xml:space="preserve">Con fecha 30 de Junio del 2022, se aprueba el decreto 525/2022 en el que se autoriza al Municipio del Ayuntamiento de Merida la obtención de un crédito por $ 350, 0000,000.00, </w:t>
      </w:r>
      <w:r w:rsidR="005D245C">
        <w:rPr>
          <w:rFonts w:ascii="Arial" w:eastAsia="Cambria" w:hAnsi="Arial" w:cs="Arial"/>
        </w:rPr>
        <w:t>el cual</w:t>
      </w:r>
      <w:r w:rsidR="00334987">
        <w:rPr>
          <w:rFonts w:ascii="Arial" w:eastAsia="Cambria" w:hAnsi="Arial" w:cs="Arial"/>
        </w:rPr>
        <w:t xml:space="preserve"> </w:t>
      </w:r>
      <w:r w:rsidR="00334987" w:rsidRPr="00334987">
        <w:rPr>
          <w:rFonts w:ascii="Arial" w:eastAsia="Cambria" w:hAnsi="Arial" w:cs="Arial"/>
        </w:rPr>
        <w:t>será destinado a</w:t>
      </w:r>
      <w:r w:rsidR="00334987">
        <w:rPr>
          <w:rFonts w:ascii="Arial" w:eastAsia="Cambria" w:hAnsi="Arial" w:cs="Arial"/>
        </w:rPr>
        <w:t xml:space="preserve"> </w:t>
      </w:r>
      <w:r w:rsidR="00334987" w:rsidRPr="00334987">
        <w:rPr>
          <w:rFonts w:ascii="Arial" w:eastAsia="Cambria" w:hAnsi="Arial" w:cs="Arial"/>
        </w:rPr>
        <w:t>inversiones públicas productivas, consistentes en la construcción, mejoramiento,</w:t>
      </w:r>
      <w:r w:rsidR="00334987">
        <w:rPr>
          <w:rFonts w:ascii="Arial" w:eastAsia="Cambria" w:hAnsi="Arial" w:cs="Arial"/>
        </w:rPr>
        <w:t xml:space="preserve"> </w:t>
      </w:r>
      <w:r w:rsidR="00334987" w:rsidRPr="00334987">
        <w:rPr>
          <w:rFonts w:ascii="Arial" w:eastAsia="Cambria" w:hAnsi="Arial" w:cs="Arial"/>
        </w:rPr>
        <w:t>rehabilitación y/o reposición de bienes de dominio público y construcción de vías de</w:t>
      </w:r>
      <w:r w:rsidR="00334987">
        <w:rPr>
          <w:rFonts w:ascii="Arial" w:eastAsia="Cambria" w:hAnsi="Arial" w:cs="Arial"/>
        </w:rPr>
        <w:t xml:space="preserve"> </w:t>
      </w:r>
      <w:r w:rsidR="00334987" w:rsidRPr="00334987">
        <w:rPr>
          <w:rFonts w:ascii="Arial" w:eastAsia="Cambria" w:hAnsi="Arial" w:cs="Arial"/>
        </w:rPr>
        <w:t>comunicación correspondientes a los siguientes rubros de gasto, conforme al</w:t>
      </w:r>
      <w:r w:rsidR="005D245C">
        <w:rPr>
          <w:rFonts w:ascii="Arial" w:eastAsia="Cambria" w:hAnsi="Arial" w:cs="Arial"/>
        </w:rPr>
        <w:t xml:space="preserve"> </w:t>
      </w:r>
      <w:r w:rsidR="00334987" w:rsidRPr="00334987">
        <w:rPr>
          <w:rFonts w:ascii="Arial" w:eastAsia="Cambria" w:hAnsi="Arial" w:cs="Arial"/>
        </w:rPr>
        <w:t>clasificador por objeto de gasto emitido por el Consejo Nacional de Armonización</w:t>
      </w:r>
      <w:r w:rsidR="00334987">
        <w:rPr>
          <w:rFonts w:ascii="Arial" w:eastAsia="Cambria" w:hAnsi="Arial" w:cs="Arial"/>
        </w:rPr>
        <w:t xml:space="preserve"> </w:t>
      </w:r>
      <w:r w:rsidR="00334987" w:rsidRPr="00334987">
        <w:rPr>
          <w:rFonts w:ascii="Arial" w:eastAsia="Cambria" w:hAnsi="Arial" w:cs="Arial"/>
        </w:rPr>
        <w:t>Contable, y la definición legal de inversión público-productiva</w:t>
      </w:r>
    </w:p>
    <w:p w14:paraId="0A34D5A9" w14:textId="77777777" w:rsidR="005D245C" w:rsidRDefault="005D245C" w:rsidP="005D245C">
      <w:pPr>
        <w:autoSpaceDE w:val="0"/>
        <w:autoSpaceDN w:val="0"/>
        <w:adjustRightInd w:val="0"/>
        <w:spacing w:after="0" w:line="360" w:lineRule="auto"/>
        <w:ind w:left="426"/>
        <w:jc w:val="both"/>
        <w:rPr>
          <w:rFonts w:ascii="Arial" w:eastAsia="Cambria" w:hAnsi="Arial" w:cs="Arial"/>
        </w:rPr>
      </w:pPr>
    </w:p>
    <w:p w14:paraId="4F2D865A" w14:textId="4F8B3AE2" w:rsidR="00FA3C5D" w:rsidRDefault="005D245C" w:rsidP="005D245C">
      <w:pPr>
        <w:autoSpaceDE w:val="0"/>
        <w:autoSpaceDN w:val="0"/>
        <w:adjustRightInd w:val="0"/>
        <w:spacing w:after="0" w:line="360" w:lineRule="auto"/>
        <w:ind w:left="426"/>
        <w:jc w:val="both"/>
        <w:rPr>
          <w:rFonts w:ascii="Arial" w:eastAsia="Cambria" w:hAnsi="Arial" w:cs="Arial"/>
        </w:rPr>
      </w:pPr>
      <w:r>
        <w:rPr>
          <w:rFonts w:ascii="Arial" w:eastAsia="Cambria" w:hAnsi="Arial" w:cs="Arial"/>
        </w:rPr>
        <w:t>Derivado de lo anterior se</w:t>
      </w:r>
      <w:r w:rsidR="00334987">
        <w:rPr>
          <w:rFonts w:ascii="Arial" w:eastAsia="Cambria" w:hAnsi="Arial" w:cs="Arial"/>
        </w:rPr>
        <w:t xml:space="preserve"> adquirió un crédito simple con afectación de participaciones </w:t>
      </w:r>
      <w:r>
        <w:rPr>
          <w:rFonts w:ascii="Arial" w:eastAsia="Cambria" w:hAnsi="Arial" w:cs="Arial"/>
        </w:rPr>
        <w:t xml:space="preserve">en </w:t>
      </w:r>
      <w:r w:rsidR="00334987">
        <w:rPr>
          <w:rFonts w:ascii="Arial" w:eastAsia="Cambria" w:hAnsi="Arial" w:cs="Arial"/>
        </w:rPr>
        <w:t>ingresos federales</w:t>
      </w:r>
      <w:r>
        <w:rPr>
          <w:rFonts w:ascii="Arial" w:eastAsia="Cambria" w:hAnsi="Arial" w:cs="Arial"/>
        </w:rPr>
        <w:t xml:space="preserve"> celebrado</w:t>
      </w:r>
      <w:r w:rsidR="00334987">
        <w:rPr>
          <w:rFonts w:ascii="Arial" w:eastAsia="Cambria" w:hAnsi="Arial" w:cs="Arial"/>
        </w:rPr>
        <w:t xml:space="preserve"> con el Banco Mercantil del Norte, Sociedad </w:t>
      </w:r>
      <w:r>
        <w:rPr>
          <w:rFonts w:ascii="Arial" w:eastAsia="Cambria" w:hAnsi="Arial" w:cs="Arial"/>
        </w:rPr>
        <w:t>Anónima</w:t>
      </w:r>
      <w:r w:rsidR="00334987">
        <w:rPr>
          <w:rFonts w:ascii="Arial" w:eastAsia="Cambria" w:hAnsi="Arial" w:cs="Arial"/>
        </w:rPr>
        <w:t xml:space="preserve">, </w:t>
      </w:r>
      <w:r>
        <w:rPr>
          <w:rFonts w:ascii="Arial" w:eastAsia="Cambria" w:hAnsi="Arial" w:cs="Arial"/>
        </w:rPr>
        <w:t>Institución</w:t>
      </w:r>
      <w:r w:rsidR="00334987">
        <w:rPr>
          <w:rFonts w:ascii="Arial" w:eastAsia="Cambria" w:hAnsi="Arial" w:cs="Arial"/>
        </w:rPr>
        <w:t xml:space="preserve"> de banca </w:t>
      </w:r>
      <w:r>
        <w:rPr>
          <w:rFonts w:ascii="Arial" w:eastAsia="Cambria" w:hAnsi="Arial" w:cs="Arial"/>
        </w:rPr>
        <w:t>múltiple</w:t>
      </w:r>
      <w:r w:rsidR="00334987">
        <w:rPr>
          <w:rFonts w:ascii="Arial" w:eastAsia="Cambria" w:hAnsi="Arial" w:cs="Arial"/>
        </w:rPr>
        <w:t xml:space="preserve">, grupo financiero Banorte. </w:t>
      </w:r>
      <w:r>
        <w:rPr>
          <w:rFonts w:ascii="Arial" w:eastAsia="Cambria" w:hAnsi="Arial" w:cs="Arial"/>
        </w:rPr>
        <w:t>A</w:t>
      </w:r>
      <w:r w:rsidR="00334987">
        <w:rPr>
          <w:rFonts w:ascii="Arial" w:eastAsia="Cambria" w:hAnsi="Arial" w:cs="Arial"/>
        </w:rPr>
        <w:t xml:space="preserve">l 31 de Diciembre del 2022 </w:t>
      </w:r>
      <w:proofErr w:type="gramStart"/>
      <w:r w:rsidR="00334987">
        <w:rPr>
          <w:rFonts w:ascii="Arial" w:eastAsia="Cambria" w:hAnsi="Arial" w:cs="Arial"/>
        </w:rPr>
        <w:t xml:space="preserve">se </w:t>
      </w:r>
      <w:r w:rsidR="007E079C">
        <w:rPr>
          <w:rFonts w:ascii="Arial" w:eastAsia="Cambria" w:hAnsi="Arial" w:cs="Arial"/>
        </w:rPr>
        <w:t xml:space="preserve"> ha</w:t>
      </w:r>
      <w:proofErr w:type="gramEnd"/>
      <w:r w:rsidR="007E079C">
        <w:rPr>
          <w:rFonts w:ascii="Arial" w:eastAsia="Cambria" w:hAnsi="Arial" w:cs="Arial"/>
        </w:rPr>
        <w:t xml:space="preserve"> recibido una ministración por $ 170,000,000.00 del cual se presentan los movimientos aplicados</w:t>
      </w:r>
      <w:r w:rsidR="00334987">
        <w:rPr>
          <w:rFonts w:ascii="Arial" w:eastAsia="Cambria" w:hAnsi="Arial" w:cs="Arial"/>
        </w:rPr>
        <w:t>:</w:t>
      </w:r>
    </w:p>
    <w:p w14:paraId="6E74E1C9" w14:textId="77777777" w:rsidR="00334987" w:rsidRDefault="00334987" w:rsidP="00334987">
      <w:pPr>
        <w:pStyle w:val="Prrafodelista"/>
        <w:spacing w:after="0" w:line="360" w:lineRule="auto"/>
        <w:ind w:left="786"/>
        <w:jc w:val="both"/>
        <w:rPr>
          <w:rFonts w:ascii="Arial" w:eastAsia="Cambria" w:hAnsi="Arial" w:cs="Arial"/>
        </w:rPr>
      </w:pPr>
    </w:p>
    <w:p w14:paraId="03B06388" w14:textId="639FB471" w:rsidR="00334987" w:rsidRDefault="005D245C" w:rsidP="005D245C">
      <w:pPr>
        <w:pStyle w:val="Prrafodelista"/>
        <w:spacing w:after="0" w:line="360" w:lineRule="auto"/>
        <w:ind w:left="786"/>
        <w:jc w:val="center"/>
        <w:rPr>
          <w:rFonts w:ascii="Arial" w:eastAsia="Cambria" w:hAnsi="Arial" w:cs="Arial"/>
        </w:rPr>
      </w:pPr>
      <w:r w:rsidRPr="005D245C">
        <w:rPr>
          <w:noProof/>
        </w:rPr>
        <w:drawing>
          <wp:inline distT="0" distB="0" distL="0" distR="0" wp14:anchorId="1BD5ABA2" wp14:editId="37FC42E9">
            <wp:extent cx="3836035" cy="985520"/>
            <wp:effectExtent l="0" t="0" r="0" b="508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36035" cy="985520"/>
                    </a:xfrm>
                    <a:prstGeom prst="rect">
                      <a:avLst/>
                    </a:prstGeom>
                    <a:noFill/>
                    <a:ln>
                      <a:noFill/>
                    </a:ln>
                  </pic:spPr>
                </pic:pic>
              </a:graphicData>
            </a:graphic>
          </wp:inline>
        </w:drawing>
      </w:r>
    </w:p>
    <w:p w14:paraId="2C6E39BD" w14:textId="77777777" w:rsidR="007E079C" w:rsidRPr="00D61984" w:rsidRDefault="007E079C" w:rsidP="00D61984">
      <w:pPr>
        <w:pStyle w:val="Prrafodelista"/>
        <w:spacing w:after="0" w:line="360" w:lineRule="auto"/>
        <w:ind w:left="786"/>
        <w:jc w:val="both"/>
        <w:rPr>
          <w:rFonts w:ascii="Arial" w:eastAsia="Cambria" w:hAnsi="Arial" w:cs="Arial"/>
        </w:rPr>
      </w:pPr>
    </w:p>
    <w:p w14:paraId="208805A9" w14:textId="77777777" w:rsidR="008838F3" w:rsidRPr="008838F3" w:rsidRDefault="008838F3" w:rsidP="008838F3">
      <w:pPr>
        <w:pStyle w:val="Prrafodelista"/>
        <w:spacing w:after="0" w:line="240" w:lineRule="auto"/>
        <w:ind w:left="786"/>
        <w:jc w:val="both"/>
        <w:rPr>
          <w:rFonts w:ascii="Cambria" w:eastAsia="Cambria" w:hAnsi="Cambria" w:cs="Cambria"/>
          <w:b/>
          <w:sz w:val="24"/>
          <w:szCs w:val="24"/>
        </w:rPr>
      </w:pPr>
    </w:p>
    <w:p w14:paraId="1D4DEB81" w14:textId="77777777" w:rsidR="00946FD1" w:rsidRDefault="00946FD1" w:rsidP="00106E3C">
      <w:pPr>
        <w:pStyle w:val="Prrafodelista"/>
        <w:numPr>
          <w:ilvl w:val="0"/>
          <w:numId w:val="12"/>
        </w:numPr>
        <w:spacing w:after="0" w:line="240" w:lineRule="auto"/>
        <w:contextualSpacing w:val="0"/>
        <w:jc w:val="both"/>
        <w:rPr>
          <w:rFonts w:ascii="Cambria" w:eastAsia="Cambria" w:hAnsi="Cambria" w:cs="Cambria"/>
          <w:b/>
          <w:sz w:val="24"/>
          <w:szCs w:val="24"/>
        </w:rPr>
      </w:pPr>
      <w:r w:rsidRPr="00946FD1">
        <w:rPr>
          <w:rFonts w:ascii="Cambria" w:eastAsia="Cambria" w:hAnsi="Cambria" w:cs="Cambria"/>
          <w:b/>
          <w:sz w:val="24"/>
          <w:szCs w:val="24"/>
        </w:rPr>
        <w:t>Otros Pasivos a Corto Plazo</w:t>
      </w:r>
    </w:p>
    <w:p w14:paraId="515075CD" w14:textId="77777777" w:rsidR="00106E3C" w:rsidRPr="00946FD1" w:rsidRDefault="00106E3C" w:rsidP="00106E3C">
      <w:pPr>
        <w:pStyle w:val="Prrafodelista"/>
        <w:spacing w:after="0" w:line="240" w:lineRule="auto"/>
        <w:ind w:left="786"/>
        <w:contextualSpacing w:val="0"/>
        <w:jc w:val="both"/>
        <w:rPr>
          <w:rFonts w:ascii="Cambria" w:eastAsia="Cambria" w:hAnsi="Cambria" w:cs="Cambria"/>
          <w:b/>
          <w:sz w:val="24"/>
          <w:szCs w:val="24"/>
        </w:rPr>
      </w:pPr>
    </w:p>
    <w:p w14:paraId="16C40D52" w14:textId="77777777" w:rsidR="00946FD1" w:rsidRPr="00D17F6A" w:rsidRDefault="00946FD1" w:rsidP="00946FD1">
      <w:pPr>
        <w:ind w:left="426"/>
        <w:jc w:val="both"/>
        <w:rPr>
          <w:rFonts w:ascii="Cambria" w:eastAsia="Cambria" w:hAnsi="Cambria" w:cs="Cambria"/>
          <w:b/>
          <w:sz w:val="24"/>
          <w:szCs w:val="24"/>
        </w:rPr>
      </w:pPr>
      <w:r w:rsidRPr="00D17F6A">
        <w:rPr>
          <w:rFonts w:ascii="Cambria" w:eastAsia="Cambria" w:hAnsi="Cambria" w:cs="Cambria"/>
          <w:b/>
          <w:sz w:val="24"/>
          <w:szCs w:val="24"/>
        </w:rPr>
        <w:t>LUMINARIAS AB&amp;C LEASING DE MEXICO</w:t>
      </w:r>
    </w:p>
    <w:p w14:paraId="7A3FC014" w14:textId="77777777" w:rsidR="006C20FE" w:rsidRDefault="0091714F" w:rsidP="006C20FE">
      <w:pPr>
        <w:tabs>
          <w:tab w:val="left" w:pos="284"/>
        </w:tabs>
        <w:spacing w:after="0" w:line="360" w:lineRule="auto"/>
        <w:ind w:left="426"/>
        <w:jc w:val="both"/>
        <w:rPr>
          <w:rFonts w:ascii="Arial" w:eastAsia="Calibri" w:hAnsi="Arial" w:cs="Arial"/>
          <w:u w:val="single"/>
        </w:rPr>
      </w:pPr>
      <w:r w:rsidRPr="0091714F">
        <w:rPr>
          <w:rFonts w:ascii="Arial" w:hAnsi="Arial" w:cs="Arial"/>
        </w:rPr>
        <w:t xml:space="preserve">El veintidós de abril de dos mil trece, el H. Ayuntamiento de Mérida, da por terminado anticipadamente el Contrato de Arrendamiento derivado de la Licitación Pública  DA-2011-LUMINARIAS-01-01 adjudicado a la empresa </w:t>
      </w:r>
      <w:r w:rsidRPr="0091714F">
        <w:rPr>
          <w:rFonts w:ascii="Arial" w:eastAsia="Calibri" w:hAnsi="Arial" w:cs="Arial"/>
        </w:rPr>
        <w:t xml:space="preserve">AB&amp;C Leasing de México, S.A.P.I., de C.V., misma que </w:t>
      </w:r>
      <w:r w:rsidRPr="0091714F">
        <w:rPr>
          <w:rFonts w:ascii="Arial" w:hAnsi="Arial" w:cs="Arial"/>
        </w:rPr>
        <w:t xml:space="preserve">interpone demanda de Nulidad en  Juicio Contencioso Administrativo, </w:t>
      </w:r>
      <w:r w:rsidRPr="0091714F">
        <w:rPr>
          <w:rFonts w:ascii="Arial" w:eastAsia="Calibri" w:hAnsi="Arial" w:cs="Arial"/>
        </w:rPr>
        <w:t xml:space="preserve">ante el Tribunal de Justicia Electoral y Administrativa del Poder Judicial del Estado de Yucatán, en contra del Acuerdo anterior, al que se le asignó el número de expediente </w:t>
      </w:r>
      <w:r w:rsidRPr="0091714F">
        <w:rPr>
          <w:rFonts w:ascii="Arial" w:eastAsia="Calibri" w:hAnsi="Arial" w:cs="Arial"/>
          <w:u w:val="single"/>
        </w:rPr>
        <w:t>119/2013.</w:t>
      </w:r>
    </w:p>
    <w:p w14:paraId="7AB8AF6E" w14:textId="77777777" w:rsidR="0091714F" w:rsidRPr="006C20FE" w:rsidRDefault="0091714F" w:rsidP="006C20FE">
      <w:pPr>
        <w:tabs>
          <w:tab w:val="left" w:pos="284"/>
        </w:tabs>
        <w:spacing w:after="0" w:line="360" w:lineRule="auto"/>
        <w:ind w:left="426"/>
        <w:jc w:val="both"/>
        <w:rPr>
          <w:rFonts w:ascii="Arial" w:eastAsia="Calibri" w:hAnsi="Arial" w:cs="Arial"/>
          <w:u w:val="single"/>
        </w:rPr>
      </w:pPr>
      <w:r w:rsidRPr="0091714F">
        <w:rPr>
          <w:rFonts w:ascii="Arial" w:hAnsi="Arial" w:cs="Arial"/>
        </w:rPr>
        <w:lastRenderedPageBreak/>
        <w:t xml:space="preserve">En sentencia de fecha </w:t>
      </w:r>
      <w:r w:rsidRPr="0091714F">
        <w:rPr>
          <w:rFonts w:ascii="Arial" w:hAnsi="Arial" w:cs="Arial"/>
          <w:u w:val="single"/>
        </w:rPr>
        <w:t>cinco de marzo del año dos mil catorce</w:t>
      </w:r>
      <w:r w:rsidRPr="0091714F">
        <w:rPr>
          <w:rFonts w:ascii="Arial" w:hAnsi="Arial" w:cs="Arial"/>
        </w:rPr>
        <w:t xml:space="preserve">, notificada hasta el día </w:t>
      </w:r>
      <w:r w:rsidRPr="0091714F">
        <w:rPr>
          <w:rFonts w:ascii="Arial" w:hAnsi="Arial" w:cs="Arial"/>
          <w:u w:val="single"/>
        </w:rPr>
        <w:t>quince de marzo de dos mil quince</w:t>
      </w:r>
      <w:r w:rsidRPr="0091714F">
        <w:rPr>
          <w:rFonts w:ascii="Arial" w:hAnsi="Arial" w:cs="Arial"/>
        </w:rPr>
        <w:t>, el Tribunal, declaró la nulidad de la resolución administrativa de fecha veintidós de abril de dos mil trece, así como también declaró vigente en todos sus términos el contrato de arrendamiento con opción a compra número DA-2011-LUMINARIAS-01/01, y condenó al Ayuntamiento de Mérida a que pague de inmediato a la empresa arrendadora AB&amp;C Leasing de México, Sociedad Anónima Promotora de Inversión de Capital Variable, la cantidad de $203,155,906.66 (Son: Doscientos tres millones ciento cincuenta y cinco mil novecientos seis pesos 66/100 M.N.), importe correspondiente a las rentas mensuales vencidas que no habían sido cubiertas hasta la fecha de la transcripción de la resolución, así como las rentas que se generaran a partir de que se terminara de transcribir la misma. Dicha sentencia que aún se encuentra pendiente de ejecución</w:t>
      </w:r>
      <w:r w:rsidR="003A26D4">
        <w:rPr>
          <w:rFonts w:ascii="Arial" w:hAnsi="Arial" w:cs="Arial"/>
        </w:rPr>
        <w:t>.</w:t>
      </w:r>
    </w:p>
    <w:p w14:paraId="1A2F0C05" w14:textId="77777777" w:rsidR="00F125F0" w:rsidRDefault="0091714F" w:rsidP="0091714F">
      <w:pPr>
        <w:pStyle w:val="Sinespaciado"/>
        <w:spacing w:line="360" w:lineRule="auto"/>
        <w:jc w:val="both"/>
        <w:rPr>
          <w:rFonts w:ascii="Arial" w:hAnsi="Arial" w:cs="Arial"/>
        </w:rPr>
      </w:pPr>
      <w:r w:rsidRPr="0091714F">
        <w:rPr>
          <w:rFonts w:ascii="Arial" w:hAnsi="Arial" w:cs="Arial"/>
        </w:rPr>
        <w:t xml:space="preserve"> </w:t>
      </w:r>
    </w:p>
    <w:p w14:paraId="19ECD570" w14:textId="77777777" w:rsidR="0091714F" w:rsidRPr="0091714F" w:rsidRDefault="0091714F" w:rsidP="00AB1925">
      <w:pPr>
        <w:pStyle w:val="Sinespaciado"/>
        <w:spacing w:line="360" w:lineRule="auto"/>
        <w:ind w:left="426"/>
        <w:jc w:val="both"/>
        <w:rPr>
          <w:rFonts w:ascii="Arial" w:hAnsi="Arial" w:cs="Arial"/>
        </w:rPr>
      </w:pPr>
      <w:r w:rsidRPr="0091714F">
        <w:rPr>
          <w:rFonts w:ascii="Arial" w:hAnsi="Arial" w:cs="Arial"/>
        </w:rPr>
        <w:t>Inconforme con lo anterior el Ayuntamiento de Mérida, interpone Juicio de Amparo Directo en contra de la resolución de fecha cinco de marzo del año dos mil catorce, obteniéndose la suspensión de la ejecución de la misma.</w:t>
      </w:r>
    </w:p>
    <w:p w14:paraId="2DC4F751" w14:textId="77777777" w:rsidR="0091714F" w:rsidRPr="0091714F" w:rsidRDefault="0091714F" w:rsidP="00AB1925">
      <w:pPr>
        <w:pStyle w:val="Sinespaciado"/>
        <w:spacing w:line="360" w:lineRule="auto"/>
        <w:ind w:left="426"/>
        <w:jc w:val="both"/>
        <w:rPr>
          <w:rFonts w:ascii="Arial" w:hAnsi="Arial" w:cs="Arial"/>
        </w:rPr>
      </w:pPr>
    </w:p>
    <w:p w14:paraId="785098CB" w14:textId="77777777" w:rsidR="0091714F" w:rsidRPr="0091714F" w:rsidRDefault="0091714F" w:rsidP="00AB1925">
      <w:pPr>
        <w:pStyle w:val="Sinespaciado"/>
        <w:spacing w:line="360" w:lineRule="auto"/>
        <w:ind w:left="426"/>
        <w:jc w:val="both"/>
        <w:rPr>
          <w:rFonts w:ascii="Arial" w:hAnsi="Arial" w:cs="Arial"/>
        </w:rPr>
      </w:pPr>
      <w:r w:rsidRPr="0091714F">
        <w:rPr>
          <w:rFonts w:ascii="Arial" w:hAnsi="Arial" w:cs="Arial"/>
        </w:rPr>
        <w:t>Del juicio de amparo corresponde conocer al Tribunal Colegiado en Materias Penal y Administrativa del Décimo Cuarto Circuito, quien por medio de su magistrado Presidente,  lo admitió a trámite por auto de fecha veintidós de septiembre de dos mil quince, con número de expediente 414/2015.</w:t>
      </w:r>
    </w:p>
    <w:p w14:paraId="470290B1" w14:textId="77777777" w:rsidR="0091714F" w:rsidRPr="0091714F" w:rsidRDefault="0091714F" w:rsidP="00AB1925">
      <w:pPr>
        <w:pStyle w:val="Sinespaciado"/>
        <w:spacing w:line="360" w:lineRule="auto"/>
        <w:ind w:left="426"/>
        <w:jc w:val="both"/>
        <w:rPr>
          <w:rFonts w:ascii="Arial" w:hAnsi="Arial" w:cs="Arial"/>
        </w:rPr>
      </w:pPr>
    </w:p>
    <w:p w14:paraId="4875B456" w14:textId="77777777" w:rsidR="0091714F" w:rsidRPr="0091714F" w:rsidRDefault="0091714F" w:rsidP="00AB1925">
      <w:pPr>
        <w:pStyle w:val="Sinespaciado"/>
        <w:spacing w:line="360" w:lineRule="auto"/>
        <w:ind w:left="426"/>
        <w:jc w:val="both"/>
        <w:rPr>
          <w:rFonts w:ascii="Arial" w:hAnsi="Arial" w:cs="Arial"/>
        </w:rPr>
      </w:pPr>
      <w:r w:rsidRPr="0091714F">
        <w:rPr>
          <w:rFonts w:ascii="Arial" w:hAnsi="Arial" w:cs="Arial"/>
        </w:rPr>
        <w:t xml:space="preserve">El día nueve de noviembre de dos mil dieciséis, la Primera Sala de la Suprema Corte de Justicia de la Nación, ejerce su facultad de atracción para conocer del juicio de amparo directo 414/2015, del índice del Tribunal Colegiado en Materias Penal y Administrativa del Decimocuarto Circuito, por unanimidad de cuatro votos de los señores Ministros: Arturo Zaldívar Lelo de Larrea, José Ramón Cossío Díaz, Jorge Mario Pardo Rebolledo (Ponente) y Presidenta Norma Lucía Piña Hernández. Estuvo ausente el Señor Ministro Alfredo Gutiérrez Ortiz Mena. </w:t>
      </w:r>
    </w:p>
    <w:p w14:paraId="66941F81" w14:textId="77777777" w:rsidR="0091714F" w:rsidRPr="0091714F" w:rsidRDefault="0091714F" w:rsidP="00AB1925">
      <w:pPr>
        <w:pStyle w:val="Sinespaciado"/>
        <w:spacing w:line="360" w:lineRule="auto"/>
        <w:ind w:left="426"/>
        <w:jc w:val="both"/>
        <w:rPr>
          <w:rFonts w:ascii="Arial" w:eastAsiaTheme="minorHAnsi" w:hAnsi="Arial" w:cs="Arial"/>
        </w:rPr>
      </w:pPr>
    </w:p>
    <w:p w14:paraId="5B899704" w14:textId="77777777" w:rsidR="0091714F" w:rsidRPr="0091714F" w:rsidRDefault="0091714F" w:rsidP="00791B45">
      <w:pPr>
        <w:pStyle w:val="Sinespaciado"/>
        <w:spacing w:line="360" w:lineRule="auto"/>
        <w:ind w:left="426"/>
        <w:jc w:val="both"/>
        <w:rPr>
          <w:rFonts w:ascii="Arial" w:hAnsi="Arial" w:cs="Arial"/>
        </w:rPr>
      </w:pPr>
      <w:r w:rsidRPr="0091714F">
        <w:rPr>
          <w:rFonts w:ascii="Arial" w:hAnsi="Arial" w:cs="Arial"/>
        </w:rPr>
        <w:t xml:space="preserve">Por acuerdo de fecha diecinueve de enero de dos mil diecisiete la Suprema Corte de Justicia de la Nación se avoca a conocer de la demanda de amparo 414/2015, del índice del Tribunal Colegiado en Materias Penal y Administrativa del Decimocuarto Circuito, asignándole el número 5/2017, </w:t>
      </w:r>
      <w:r w:rsidRPr="0091714F">
        <w:rPr>
          <w:rFonts w:ascii="Arial" w:hAnsi="Arial" w:cs="Arial"/>
        </w:rPr>
        <w:lastRenderedPageBreak/>
        <w:t>turnándose el expediente para su estudio al Ministro Jorge Mario Pardo Rebolledo, integrante de la Primera Sala.</w:t>
      </w:r>
    </w:p>
    <w:p w14:paraId="487357A8" w14:textId="77777777" w:rsidR="0091714F" w:rsidRPr="0091714F" w:rsidRDefault="0091714F" w:rsidP="00AB1925">
      <w:pPr>
        <w:pStyle w:val="Sinespaciado"/>
        <w:spacing w:line="360" w:lineRule="auto"/>
        <w:ind w:left="426"/>
        <w:jc w:val="both"/>
        <w:rPr>
          <w:rFonts w:ascii="Arial" w:hAnsi="Arial" w:cs="Arial"/>
        </w:rPr>
      </w:pPr>
      <w:r w:rsidRPr="0091714F">
        <w:rPr>
          <w:rFonts w:ascii="Arial" w:hAnsi="Arial" w:cs="Arial"/>
        </w:rPr>
        <w:t xml:space="preserve">En la sesión de fecha 12 de julio de 2017, el Ministro Ponente Jorge Mario Pardo Rebolledo, presentó el proyecto de resolución de amparo, en el que lo admitía y concedía, sin embargo los ministros votaron en contra del proyecto, por lo que se determinó sobreseer el mismo, quedando firme la resolución de fecha </w:t>
      </w:r>
      <w:r w:rsidRPr="0091714F">
        <w:rPr>
          <w:rFonts w:ascii="Arial" w:hAnsi="Arial" w:cs="Arial"/>
          <w:u w:val="single"/>
        </w:rPr>
        <w:t>cinco de marzo del año dos mil catorce.</w:t>
      </w:r>
    </w:p>
    <w:p w14:paraId="0BF6B4C1" w14:textId="77777777" w:rsidR="0091714F" w:rsidRPr="0091714F" w:rsidRDefault="0091714F" w:rsidP="00AB1925">
      <w:pPr>
        <w:pStyle w:val="Sinespaciado"/>
        <w:spacing w:line="360" w:lineRule="auto"/>
        <w:ind w:left="426"/>
        <w:jc w:val="both"/>
        <w:rPr>
          <w:rFonts w:ascii="Arial" w:hAnsi="Arial" w:cs="Arial"/>
        </w:rPr>
      </w:pPr>
    </w:p>
    <w:p w14:paraId="12811919" w14:textId="77777777" w:rsidR="0091714F" w:rsidRPr="0091714F" w:rsidRDefault="0091714F" w:rsidP="00AB1925">
      <w:pPr>
        <w:pStyle w:val="Sinespaciado"/>
        <w:spacing w:line="360" w:lineRule="auto"/>
        <w:ind w:left="426"/>
        <w:jc w:val="both"/>
        <w:rPr>
          <w:rFonts w:ascii="Arial" w:hAnsi="Arial" w:cs="Arial"/>
        </w:rPr>
      </w:pPr>
      <w:r w:rsidRPr="0091714F">
        <w:rPr>
          <w:rFonts w:ascii="Arial" w:hAnsi="Arial" w:cs="Arial"/>
        </w:rPr>
        <w:t>ABC LEASING, cedió sus derechos de cobro de las rentas referidas con anterioridad a Banco Santander (México) Sociedad Anónima, Institución de Banca Múltiple, Grupo Financiero Santander, siendo que éste a su vez promovió Juicio Ordinario Mercantil ante el Juzgado Tercero de Distrito en el Distrito Federal con número de expediente 498/2013-IV del cual se emitió sentencia condenatoria, condenando a pagar al Ayuntamiento de Mérida la cantidad de $588,761,081.17 (Son: Quinientos ochenta y ocho millones setecientos sesenta y un mil ochenta y uno pesos 17/100 M.N.), cantidad que puede variar, pues el Incidente de Liquidación en virtud de un Amparo se encuentra en revisión. En este procedimiento el Juez declaró la validez de la cesión de derechos al cobro de las rentas pactadas en el contrato de arrendamiento con opción a compra número DA-2011-LUMINARIAS-01/01, realizada por ABC&amp;C Leasing de México a favor de Banco Santander.</w:t>
      </w:r>
    </w:p>
    <w:p w14:paraId="7DAC8468" w14:textId="77777777" w:rsidR="0091714F" w:rsidRPr="0091714F" w:rsidRDefault="0091714F" w:rsidP="00AB1925">
      <w:pPr>
        <w:pStyle w:val="Sinespaciado"/>
        <w:spacing w:line="360" w:lineRule="auto"/>
        <w:ind w:left="426"/>
        <w:jc w:val="both"/>
        <w:rPr>
          <w:rFonts w:ascii="Arial" w:hAnsi="Arial" w:cs="Arial"/>
        </w:rPr>
      </w:pPr>
    </w:p>
    <w:p w14:paraId="5E60900D" w14:textId="77777777" w:rsidR="0091714F" w:rsidRPr="0091714F" w:rsidRDefault="0091714F" w:rsidP="00AB1925">
      <w:pPr>
        <w:pStyle w:val="Sinespaciado"/>
        <w:spacing w:line="360" w:lineRule="auto"/>
        <w:ind w:left="426"/>
        <w:jc w:val="both"/>
        <w:rPr>
          <w:rFonts w:ascii="Arial" w:hAnsi="Arial" w:cs="Arial"/>
        </w:rPr>
      </w:pPr>
      <w:r w:rsidRPr="0091714F">
        <w:rPr>
          <w:rFonts w:ascii="Arial" w:hAnsi="Arial" w:cs="Arial"/>
        </w:rPr>
        <w:t xml:space="preserve">El Ayuntamiento de Mérida, en autos del Juicio antes referido, presentó un programa de pago el cual no fue tomado en consideración por el Juez y giró orden de embargo en contra del Municipio. </w:t>
      </w:r>
    </w:p>
    <w:p w14:paraId="39832FBE" w14:textId="77777777" w:rsidR="0091714F" w:rsidRPr="0091714F" w:rsidRDefault="0091714F" w:rsidP="00AB1925">
      <w:pPr>
        <w:pStyle w:val="Sinespaciado"/>
        <w:spacing w:line="360" w:lineRule="auto"/>
        <w:ind w:left="426"/>
        <w:jc w:val="both"/>
        <w:rPr>
          <w:rFonts w:ascii="Arial" w:hAnsi="Arial" w:cs="Arial"/>
        </w:rPr>
      </w:pPr>
    </w:p>
    <w:p w14:paraId="78CB70E0" w14:textId="77777777" w:rsidR="0091714F" w:rsidRPr="0091714F" w:rsidRDefault="0091714F" w:rsidP="00AB1925">
      <w:pPr>
        <w:pStyle w:val="Sinespaciado"/>
        <w:spacing w:line="360" w:lineRule="auto"/>
        <w:ind w:left="426"/>
        <w:jc w:val="both"/>
        <w:rPr>
          <w:rFonts w:ascii="Arial" w:hAnsi="Arial" w:cs="Arial"/>
        </w:rPr>
      </w:pPr>
      <w:r w:rsidRPr="0091714F">
        <w:rPr>
          <w:rFonts w:ascii="Arial" w:hAnsi="Arial" w:cs="Arial"/>
        </w:rPr>
        <w:t>Inconforme con lo anterior, el Municipio interpone Juicio de Amparo Indirecto, del cual correspondió conocer al Juez Cuarto de Distrito en Materia Civil en la Ciudad de México, radicado con el número 168/2019, toda vez que los bienes del municipio son inembargables en términos del artículo 4º del Código Federal de Procedimientos Civiles y a la interpretación de la Corte, además de que se solicitó sea tomado en consideración el programa de pagos presentado como cumplimiento de sentencia.</w:t>
      </w:r>
    </w:p>
    <w:p w14:paraId="2FB62DF3" w14:textId="77777777" w:rsidR="0091714F" w:rsidRPr="0091714F" w:rsidRDefault="0091714F" w:rsidP="00AB1925">
      <w:pPr>
        <w:pStyle w:val="Sinespaciado"/>
        <w:spacing w:line="360" w:lineRule="auto"/>
        <w:ind w:left="426"/>
        <w:jc w:val="both"/>
        <w:rPr>
          <w:rFonts w:ascii="Arial" w:hAnsi="Arial" w:cs="Arial"/>
        </w:rPr>
      </w:pPr>
    </w:p>
    <w:p w14:paraId="7B0D7E64" w14:textId="77777777" w:rsidR="0091714F" w:rsidRPr="0091714F" w:rsidRDefault="0091714F" w:rsidP="00AB1925">
      <w:pPr>
        <w:pStyle w:val="Sinespaciado"/>
        <w:spacing w:line="360" w:lineRule="auto"/>
        <w:ind w:left="426"/>
        <w:jc w:val="both"/>
        <w:rPr>
          <w:rFonts w:ascii="Arial" w:hAnsi="Arial" w:cs="Arial"/>
        </w:rPr>
      </w:pPr>
      <w:r w:rsidRPr="0091714F">
        <w:rPr>
          <w:rFonts w:ascii="Arial" w:hAnsi="Arial" w:cs="Arial"/>
        </w:rPr>
        <w:t xml:space="preserve">Como consecuencia de lo anterior, el Juez Cuarto de Distrito en Materia Civil, determinó conceder el Amparo y Proteger al Municipio de Mérida, para el efecto de que el Juez Tercero de Distrito en </w:t>
      </w:r>
      <w:r w:rsidRPr="0091714F">
        <w:rPr>
          <w:rFonts w:ascii="Arial" w:hAnsi="Arial" w:cs="Arial"/>
        </w:rPr>
        <w:lastRenderedPageBreak/>
        <w:t>Materia Civil en la Ciudad de México, emita una nueva orden de embargo en el que señale que sólo pueden verse afectados bienes que no sean del dominio público. Sentencia firmada el 28 de junio de 2019.</w:t>
      </w:r>
    </w:p>
    <w:p w14:paraId="4FB6CE98" w14:textId="77777777" w:rsidR="0091714F" w:rsidRPr="0091714F" w:rsidRDefault="0091714F" w:rsidP="00AB1925">
      <w:pPr>
        <w:pStyle w:val="Sinespaciado"/>
        <w:spacing w:line="360" w:lineRule="auto"/>
        <w:ind w:left="426"/>
        <w:jc w:val="both"/>
        <w:rPr>
          <w:rFonts w:ascii="Arial" w:hAnsi="Arial" w:cs="Arial"/>
        </w:rPr>
      </w:pPr>
    </w:p>
    <w:p w14:paraId="33207842" w14:textId="77777777" w:rsidR="0091714F" w:rsidRPr="0091714F" w:rsidRDefault="0091714F" w:rsidP="00AB1925">
      <w:pPr>
        <w:pStyle w:val="Sinespaciado"/>
        <w:spacing w:line="360" w:lineRule="auto"/>
        <w:ind w:left="426"/>
        <w:jc w:val="both"/>
        <w:rPr>
          <w:rFonts w:ascii="Arial" w:hAnsi="Arial" w:cs="Arial"/>
        </w:rPr>
      </w:pPr>
      <w:r w:rsidRPr="0091714F">
        <w:rPr>
          <w:rFonts w:ascii="Arial" w:hAnsi="Arial" w:cs="Arial"/>
        </w:rPr>
        <w:t xml:space="preserve">En términos de lo anterior, el Municipio compareció ante el Juez del conocimiento y en términos de los artículos 23 de la Ley de Presupuesto y Contabilidad Gubernamental del Estado de Yucatán, y 7 del Reglamento de Presupuesto y Ejercicio del Gasto Público del Municipio de Mérida, a presentar un programa de pago en cumplimiento de la interlocutoria, con la finalidad de cubrir las obligaciones hasta por un monto que no afecte el cumplimiento de los objetivos y metas de los programas prioritarios del Municipio; se proponen pagos mensuales  de $2,500,000.00 desde el ejercicio 2019 y subsecuentes hasta el año 2038, de tal forma que de aceptarse este programa de pago,  ya no es factible dictar orden de embargo respecto de bienes del Municipio, pues la sentencia se encontraría en vías de cumplimiento. </w:t>
      </w:r>
    </w:p>
    <w:p w14:paraId="7FB24A0C" w14:textId="77777777" w:rsidR="0091714F" w:rsidRPr="0091714F" w:rsidRDefault="0091714F" w:rsidP="00AB1925">
      <w:pPr>
        <w:pStyle w:val="Sinespaciado"/>
        <w:spacing w:line="360" w:lineRule="auto"/>
        <w:ind w:left="426"/>
        <w:jc w:val="both"/>
        <w:rPr>
          <w:rFonts w:ascii="Arial" w:hAnsi="Arial" w:cs="Arial"/>
        </w:rPr>
      </w:pPr>
    </w:p>
    <w:p w14:paraId="75CFB8E6" w14:textId="77777777" w:rsidR="0091714F" w:rsidRPr="0091714F" w:rsidRDefault="0091714F" w:rsidP="00AB1925">
      <w:pPr>
        <w:pBdr>
          <w:top w:val="nil"/>
          <w:left w:val="nil"/>
          <w:bottom w:val="nil"/>
          <w:right w:val="nil"/>
          <w:between w:val="nil"/>
        </w:pBdr>
        <w:spacing w:after="0" w:line="360" w:lineRule="auto"/>
        <w:ind w:left="426"/>
        <w:jc w:val="both"/>
        <w:rPr>
          <w:rFonts w:ascii="Arial" w:eastAsia="Century Gothic" w:hAnsi="Arial" w:cs="Arial"/>
          <w:color w:val="000000"/>
        </w:rPr>
      </w:pPr>
      <w:r w:rsidRPr="0091714F">
        <w:rPr>
          <w:rFonts w:ascii="Arial" w:eastAsia="Century Gothic" w:hAnsi="Arial" w:cs="Arial"/>
          <w:color w:val="000000"/>
        </w:rPr>
        <w:t xml:space="preserve">Finalmente, también debe considerarse que Banco Santander ha solicitado se le reconozca como cesionaria de los Derechos que correspondían a AB&amp;C Leasing en el diverso Juicio Administrativo que se sigue ante el Tribunal de Justicia en dicha materia en el Estado de Yucatán, en el que existe una sentencia a favor del segundo nombrado por una cantidad menor a la dictada en favor de Santander en el Juicio Mercantil aludido; de manera que de resultar favorable el reconocimiento de cesionaria de Santander, el Municipio se libraría de sus obligaciones cumpliendo con la sentencia dictada en  el procedimiento administrativo, incluso mediante un programa de pago. </w:t>
      </w:r>
    </w:p>
    <w:p w14:paraId="3CF54A36" w14:textId="77777777" w:rsidR="0091714F" w:rsidRPr="0091714F" w:rsidRDefault="0091714F" w:rsidP="00AB1925">
      <w:pPr>
        <w:pBdr>
          <w:top w:val="nil"/>
          <w:left w:val="nil"/>
          <w:bottom w:val="nil"/>
          <w:right w:val="nil"/>
          <w:between w:val="nil"/>
        </w:pBdr>
        <w:spacing w:after="0" w:line="360" w:lineRule="auto"/>
        <w:ind w:left="426"/>
        <w:jc w:val="both"/>
        <w:rPr>
          <w:rFonts w:ascii="Arial" w:eastAsia="Century Gothic" w:hAnsi="Arial" w:cs="Arial"/>
          <w:color w:val="000000"/>
        </w:rPr>
      </w:pPr>
    </w:p>
    <w:p w14:paraId="292CE0CC" w14:textId="77777777" w:rsidR="00E71201" w:rsidRDefault="0091714F" w:rsidP="00E71201">
      <w:pPr>
        <w:pBdr>
          <w:top w:val="nil"/>
          <w:left w:val="nil"/>
          <w:bottom w:val="nil"/>
          <w:right w:val="nil"/>
          <w:between w:val="nil"/>
        </w:pBdr>
        <w:spacing w:after="0" w:line="360" w:lineRule="auto"/>
        <w:ind w:left="426"/>
        <w:jc w:val="both"/>
        <w:rPr>
          <w:rFonts w:ascii="Arial" w:eastAsia="Century Gothic" w:hAnsi="Arial" w:cs="Arial"/>
          <w:color w:val="000000"/>
        </w:rPr>
      </w:pPr>
      <w:r w:rsidRPr="0091714F">
        <w:rPr>
          <w:rFonts w:ascii="Arial" w:eastAsia="Century Gothic" w:hAnsi="Arial" w:cs="Arial"/>
          <w:color w:val="000000"/>
        </w:rPr>
        <w:t>Con fecha 25 de agosto de 2021, se realizó el requerimiento de pago y embargo al H. Ayuntamiento de Mérida, sin embargo con fecha 29 de septiembre de 2021, se emitió sentencia por parte del Juzgado Cuarto de Distrito en Materia Civil en la Ciudad de México, en el sentido de dejar sin efecto las actuaciones emitidas en pretendido cumplimiento a la ejecutoria, por la que se ordenó el requerimiento de pago y/o embargo al Municipio de Mérida.</w:t>
      </w:r>
    </w:p>
    <w:p w14:paraId="39B8AA28" w14:textId="77777777" w:rsidR="003A26D4" w:rsidRDefault="003A26D4" w:rsidP="00E71201">
      <w:pPr>
        <w:pBdr>
          <w:top w:val="nil"/>
          <w:left w:val="nil"/>
          <w:bottom w:val="nil"/>
          <w:right w:val="nil"/>
          <w:between w:val="nil"/>
        </w:pBdr>
        <w:spacing w:after="0" w:line="360" w:lineRule="auto"/>
        <w:ind w:left="426"/>
        <w:jc w:val="both"/>
        <w:rPr>
          <w:rFonts w:ascii="Arial" w:eastAsia="Century Gothic" w:hAnsi="Arial" w:cs="Arial"/>
          <w:color w:val="000000"/>
        </w:rPr>
      </w:pPr>
    </w:p>
    <w:p w14:paraId="7C649546" w14:textId="77777777" w:rsidR="0091714F" w:rsidRDefault="0091714F" w:rsidP="00E71201">
      <w:pPr>
        <w:pBdr>
          <w:top w:val="nil"/>
          <w:left w:val="nil"/>
          <w:bottom w:val="nil"/>
          <w:right w:val="nil"/>
          <w:between w:val="nil"/>
        </w:pBdr>
        <w:spacing w:after="0" w:line="360" w:lineRule="auto"/>
        <w:ind w:left="426"/>
        <w:jc w:val="both"/>
        <w:rPr>
          <w:rFonts w:ascii="Arial" w:eastAsia="Century Gothic" w:hAnsi="Arial" w:cs="Arial"/>
          <w:color w:val="000000"/>
        </w:rPr>
      </w:pPr>
      <w:r w:rsidRPr="0091714F">
        <w:rPr>
          <w:rFonts w:ascii="Arial" w:eastAsia="Century Gothic" w:hAnsi="Arial" w:cs="Arial"/>
          <w:color w:val="000000"/>
        </w:rPr>
        <w:t xml:space="preserve">Con fecha 17 de diciembre del año 2021, se compareció a la audiencia incidental en autos del Juicio de Amparo 1509-2021-I del Juzgado Primero de Distrito en el Estado de Yucatán, en el cual </w:t>
      </w:r>
      <w:r w:rsidRPr="0091714F">
        <w:rPr>
          <w:rFonts w:ascii="Arial" w:eastAsia="Century Gothic" w:hAnsi="Arial" w:cs="Arial"/>
          <w:color w:val="000000"/>
        </w:rPr>
        <w:lastRenderedPageBreak/>
        <w:t xml:space="preserve">se solicita se conceda la suspensión de los actos reclamados y se aportan pruebas, respecto a la diligencia de fecha 25 de agosto de 2021, lo anterior, en virtud de que Banco Santander promovió recurso de queja en contra del auto de fecha 29 de septiembre de 2021, por lo que aún subsisten los efectos de dicho acto al no haberse resuelto el recurso de queja respecto a las actuaciones realizadas en cumplimiento de la ejecutoria de fecha 25 de agosto de 2021. </w:t>
      </w:r>
    </w:p>
    <w:p w14:paraId="39BF88FA" w14:textId="77777777" w:rsidR="003A26D4" w:rsidRPr="0091714F" w:rsidRDefault="003A26D4" w:rsidP="00E71201">
      <w:pPr>
        <w:pBdr>
          <w:top w:val="nil"/>
          <w:left w:val="nil"/>
          <w:bottom w:val="nil"/>
          <w:right w:val="nil"/>
          <w:between w:val="nil"/>
        </w:pBdr>
        <w:spacing w:after="0" w:line="360" w:lineRule="auto"/>
        <w:ind w:left="426"/>
        <w:jc w:val="both"/>
        <w:rPr>
          <w:rFonts w:ascii="Arial" w:eastAsia="Century Gothic" w:hAnsi="Arial" w:cs="Arial"/>
          <w:color w:val="000000"/>
        </w:rPr>
      </w:pPr>
    </w:p>
    <w:p w14:paraId="03F6C40D" w14:textId="77777777" w:rsidR="0091714F" w:rsidRDefault="0091714F" w:rsidP="006C20FE">
      <w:pPr>
        <w:pBdr>
          <w:top w:val="nil"/>
          <w:left w:val="nil"/>
          <w:bottom w:val="nil"/>
          <w:right w:val="nil"/>
          <w:between w:val="nil"/>
        </w:pBdr>
        <w:spacing w:after="0" w:line="360" w:lineRule="auto"/>
        <w:ind w:left="426"/>
        <w:jc w:val="both"/>
        <w:rPr>
          <w:rFonts w:ascii="Arial" w:eastAsia="Century Gothic" w:hAnsi="Arial" w:cs="Arial"/>
          <w:color w:val="000000"/>
        </w:rPr>
      </w:pPr>
      <w:r w:rsidRPr="0091714F">
        <w:rPr>
          <w:rFonts w:ascii="Arial" w:eastAsia="Century Gothic" w:hAnsi="Arial" w:cs="Arial"/>
          <w:color w:val="000000"/>
        </w:rPr>
        <w:t>El día 22 de marzo de 2022, se rindió informe justificado en autos del Juicio de amparo 920/2022, del Juzgado Sexto de Distrito en Materia Civil en la Ciudad de México, promovido por Banco Santander (México), S.A., Institución de Banca Múltiple, Grupo Financiero Santander, por la abstinencia del Municipio de Mérida, Yucatán, de dar cumplimiento a la sentencia interlocutoria del 31 de octubre del 2018.</w:t>
      </w:r>
    </w:p>
    <w:p w14:paraId="2CCBE969" w14:textId="77777777" w:rsidR="004C4CB8" w:rsidRDefault="004C4CB8" w:rsidP="006C20FE">
      <w:pPr>
        <w:pBdr>
          <w:top w:val="nil"/>
          <w:left w:val="nil"/>
          <w:bottom w:val="nil"/>
          <w:right w:val="nil"/>
          <w:between w:val="nil"/>
        </w:pBdr>
        <w:spacing w:after="0" w:line="360" w:lineRule="auto"/>
        <w:ind w:left="426"/>
        <w:jc w:val="both"/>
        <w:rPr>
          <w:rFonts w:ascii="Arial" w:eastAsia="Century Gothic" w:hAnsi="Arial" w:cs="Arial"/>
          <w:color w:val="000000"/>
        </w:rPr>
      </w:pPr>
    </w:p>
    <w:p w14:paraId="25C62DF3" w14:textId="77777777" w:rsidR="004C4CB8" w:rsidRPr="004C4CB8" w:rsidRDefault="004C4CB8" w:rsidP="004C4CB8">
      <w:pPr>
        <w:pBdr>
          <w:top w:val="nil"/>
          <w:left w:val="nil"/>
          <w:bottom w:val="nil"/>
          <w:right w:val="nil"/>
          <w:between w:val="nil"/>
        </w:pBdr>
        <w:spacing w:line="360" w:lineRule="auto"/>
        <w:ind w:left="426"/>
        <w:jc w:val="both"/>
        <w:rPr>
          <w:rFonts w:ascii="Arial" w:eastAsia="Century Gothic" w:hAnsi="Arial" w:cs="Arial"/>
          <w:color w:val="000000"/>
        </w:rPr>
      </w:pPr>
      <w:r w:rsidRPr="004C4CB8">
        <w:rPr>
          <w:rFonts w:ascii="Arial" w:eastAsia="Century Gothic" w:hAnsi="Arial" w:cs="Arial"/>
          <w:color w:val="000000"/>
        </w:rPr>
        <w:t>En fecha 12 de septiembre de 2021, se emitió sentencia en el Juicio de Amparo 920/2022, del Juzgado Sexto de Distrito en Materia Civil en la Ciudad de México, en el cual Amparó y Protegió a Banco Santander (México), S.A., Institución de Banca Múltiple, Grupo Financiero Santander en contra del acto que reclamo del Municipio de Mérida, para efectos de que el Municipio de Mérida, Yucatán, dé puntual y cabal cumplimiento a la sentencia de treinta y uno de octubre de dos mil dieciocho, dictada dentro de los autos del juicio ordinario mercantil 498/2013, radicado en el Juzgado Tercero de Distrito en Materia Civil en la Cuidad de México.</w:t>
      </w:r>
    </w:p>
    <w:p w14:paraId="3EDD7DB9" w14:textId="77777777" w:rsidR="00EC0F98" w:rsidRDefault="004C4CB8" w:rsidP="00D72314">
      <w:pPr>
        <w:pBdr>
          <w:top w:val="nil"/>
          <w:left w:val="nil"/>
          <w:bottom w:val="nil"/>
          <w:right w:val="nil"/>
          <w:between w:val="nil"/>
        </w:pBdr>
        <w:spacing w:line="360" w:lineRule="auto"/>
        <w:ind w:left="426"/>
        <w:jc w:val="both"/>
        <w:rPr>
          <w:rFonts w:ascii="Arial" w:eastAsia="Century Gothic" w:hAnsi="Arial" w:cs="Arial"/>
          <w:color w:val="000000"/>
        </w:rPr>
      </w:pPr>
      <w:r w:rsidRPr="004C4CB8">
        <w:rPr>
          <w:rFonts w:ascii="Arial" w:eastAsia="Century Gothic" w:hAnsi="Arial" w:cs="Arial"/>
          <w:color w:val="000000"/>
        </w:rPr>
        <w:t>El día 30 de septiembre de 2022, se interpuso recurso de revisión en contra de la resolución dictada en el Juicio de Amparo 920/2022, del Juzgado Sexto de Distrito en Materia Civil en la Ciudad de México, de fecha 12 de septiembre de 2022.</w:t>
      </w:r>
    </w:p>
    <w:p w14:paraId="44C4CE89" w14:textId="4D137A26" w:rsidR="002F070D" w:rsidRPr="002F070D" w:rsidRDefault="002F070D" w:rsidP="002F070D">
      <w:pPr>
        <w:pBdr>
          <w:top w:val="nil"/>
          <w:left w:val="nil"/>
          <w:bottom w:val="nil"/>
          <w:right w:val="nil"/>
          <w:between w:val="nil"/>
        </w:pBdr>
        <w:spacing w:line="360" w:lineRule="auto"/>
        <w:ind w:left="426"/>
        <w:jc w:val="both"/>
        <w:rPr>
          <w:rFonts w:ascii="Arial" w:eastAsia="Century Gothic" w:hAnsi="Arial" w:cs="Arial"/>
          <w:color w:val="000000"/>
        </w:rPr>
      </w:pPr>
      <w:r w:rsidRPr="002F070D">
        <w:rPr>
          <w:rFonts w:ascii="Arial" w:eastAsia="Century Gothic" w:hAnsi="Arial" w:cs="Arial"/>
          <w:color w:val="000000"/>
        </w:rPr>
        <w:t>El día 14 de diciembre de 2022, se interpuso recurso de revisión en contra de la resolución  de fecha 30 de noviembre de 2022, dictada en el Juicio de Amparo Indirecto 720/2022, radicado en el Juzgado Sexto de Distrito en Materia Civil en la Ciudad de México.</w:t>
      </w:r>
    </w:p>
    <w:p w14:paraId="4D3444A5" w14:textId="77777777" w:rsidR="002F070D" w:rsidRPr="002F070D" w:rsidRDefault="002F070D" w:rsidP="002F070D">
      <w:pPr>
        <w:pBdr>
          <w:top w:val="nil"/>
          <w:left w:val="nil"/>
          <w:bottom w:val="nil"/>
          <w:right w:val="nil"/>
          <w:between w:val="nil"/>
        </w:pBdr>
        <w:spacing w:line="360" w:lineRule="auto"/>
        <w:ind w:left="426"/>
        <w:jc w:val="both"/>
        <w:rPr>
          <w:rFonts w:ascii="Arial" w:eastAsia="Century Gothic" w:hAnsi="Arial" w:cs="Arial"/>
          <w:color w:val="000000"/>
        </w:rPr>
      </w:pPr>
      <w:r w:rsidRPr="002F070D">
        <w:rPr>
          <w:rFonts w:ascii="Arial" w:eastAsia="Century Gothic" w:hAnsi="Arial" w:cs="Arial"/>
          <w:color w:val="000000"/>
        </w:rPr>
        <w:t xml:space="preserve">El día 14 de diciembre de 2022, se interpuso recurso de apelación en contra del auto dictado en el Juicio Ordinario Mercantil 498/2013-IV, del Juzgado Tercero de Distrito en Materia Civil en la Ciudad de México, de fecha 05 de diciembre de 2022. </w:t>
      </w:r>
    </w:p>
    <w:p w14:paraId="008EE395" w14:textId="66C5A407" w:rsidR="002F070D" w:rsidRDefault="002F070D" w:rsidP="002F070D">
      <w:pPr>
        <w:pBdr>
          <w:top w:val="nil"/>
          <w:left w:val="nil"/>
          <w:bottom w:val="nil"/>
          <w:right w:val="nil"/>
          <w:between w:val="nil"/>
        </w:pBdr>
        <w:spacing w:line="259" w:lineRule="auto"/>
        <w:jc w:val="both"/>
        <w:rPr>
          <w:rFonts w:ascii="Arial" w:eastAsia="Century Gothic" w:hAnsi="Arial" w:cs="Arial"/>
          <w:color w:val="000000"/>
        </w:rPr>
      </w:pPr>
      <w:r w:rsidRPr="002F070D">
        <w:rPr>
          <w:rFonts w:ascii="Arial" w:eastAsia="Century Gothic" w:hAnsi="Arial" w:cs="Arial"/>
          <w:color w:val="000000"/>
        </w:rPr>
        <w:t xml:space="preserve"> </w:t>
      </w:r>
    </w:p>
    <w:p w14:paraId="04BD7145" w14:textId="77777777" w:rsidR="002F070D" w:rsidRPr="00D72314" w:rsidRDefault="002F070D" w:rsidP="00D72314">
      <w:pPr>
        <w:pBdr>
          <w:top w:val="nil"/>
          <w:left w:val="nil"/>
          <w:bottom w:val="nil"/>
          <w:right w:val="nil"/>
          <w:between w:val="nil"/>
        </w:pBdr>
        <w:spacing w:line="360" w:lineRule="auto"/>
        <w:ind w:left="426"/>
        <w:jc w:val="both"/>
        <w:rPr>
          <w:rFonts w:ascii="Arial" w:eastAsia="Century Gothic" w:hAnsi="Arial" w:cs="Arial"/>
          <w:color w:val="000000"/>
        </w:rPr>
      </w:pPr>
    </w:p>
    <w:p w14:paraId="522CEFC2" w14:textId="77777777" w:rsidR="00946FD1" w:rsidRPr="00264864" w:rsidRDefault="00946FD1" w:rsidP="00264864">
      <w:pPr>
        <w:pBdr>
          <w:top w:val="nil"/>
          <w:left w:val="nil"/>
          <w:bottom w:val="nil"/>
          <w:right w:val="nil"/>
          <w:between w:val="nil"/>
        </w:pBdr>
        <w:spacing w:line="360" w:lineRule="auto"/>
        <w:ind w:left="426"/>
        <w:jc w:val="both"/>
        <w:rPr>
          <w:rFonts w:ascii="Arial" w:eastAsia="Cambria" w:hAnsi="Arial" w:cs="Arial"/>
          <w:b/>
        </w:rPr>
      </w:pPr>
      <w:r w:rsidRPr="00264864">
        <w:rPr>
          <w:rFonts w:ascii="Arial" w:eastAsia="Cambria" w:hAnsi="Arial" w:cs="Arial"/>
          <w:b/>
        </w:rPr>
        <w:t>TAX COMPANY, S.C</w:t>
      </w:r>
    </w:p>
    <w:p w14:paraId="20F6BF3E" w14:textId="77777777" w:rsidR="00946FD1" w:rsidRPr="00264864" w:rsidRDefault="00946FD1" w:rsidP="00264864">
      <w:pPr>
        <w:pBdr>
          <w:top w:val="nil"/>
          <w:left w:val="nil"/>
          <w:bottom w:val="nil"/>
          <w:right w:val="nil"/>
          <w:between w:val="nil"/>
        </w:pBdr>
        <w:spacing w:after="0" w:line="360" w:lineRule="auto"/>
        <w:ind w:left="426"/>
        <w:jc w:val="both"/>
        <w:rPr>
          <w:rFonts w:ascii="Arial" w:eastAsia="Cambria" w:hAnsi="Arial" w:cs="Arial"/>
        </w:rPr>
      </w:pPr>
      <w:r w:rsidRPr="00264864">
        <w:rPr>
          <w:rFonts w:ascii="Arial" w:eastAsia="Cambria" w:hAnsi="Arial" w:cs="Arial"/>
        </w:rPr>
        <w:t xml:space="preserve">El 13 de Enero de 2020, se emitió el acuerdo dictado por el juez del Tribunal Contencioso Administrativo del Municipio de Merida, en el que consta la sentencia definitiva de fecha 26 de noviembre 2019, ha quedado firme para todos los efectos legales que correspondan. </w:t>
      </w:r>
    </w:p>
    <w:p w14:paraId="3513783A" w14:textId="77777777" w:rsidR="00D61984" w:rsidRDefault="00946FD1" w:rsidP="00264864">
      <w:pPr>
        <w:pBdr>
          <w:top w:val="nil"/>
          <w:left w:val="nil"/>
          <w:bottom w:val="nil"/>
          <w:right w:val="nil"/>
          <w:between w:val="nil"/>
        </w:pBdr>
        <w:spacing w:after="0" w:line="360" w:lineRule="auto"/>
        <w:ind w:left="426"/>
        <w:jc w:val="both"/>
        <w:rPr>
          <w:rFonts w:ascii="Arial" w:eastAsia="Cambria" w:hAnsi="Arial" w:cs="Arial"/>
        </w:rPr>
      </w:pPr>
      <w:r w:rsidRPr="00264864">
        <w:rPr>
          <w:rFonts w:ascii="Arial" w:eastAsia="Cambria" w:hAnsi="Arial" w:cs="Arial"/>
        </w:rPr>
        <w:t>Lo anterior en referencia al acuerdo 04/2019 de fecha 6 de mayo de 2019 relativo a la resolución del procedimiento administrativo de recisión de contrato de prestación de servicios DA-2017-ACTUALIZACION BASE CARTOGRAFICA -01-01,y su convenio modificatorio, en los cuales se ordenó realizar el finiquito correspondiente, acordándose pagar a la persona moral denominada TAX COMPANY, S.C. la cantidad de $ 3,950,221.03 (tres millones novecientos cincuenta mil doscientos pesos 03/100 M.N.) por los servicios que fueron prestados según la cláusula quinta del contrato de prestación de servicios DA-2017-ACTUALIZACION BASE CARTOGRAFICA-01-01</w:t>
      </w:r>
      <w:r w:rsidR="00017B51" w:rsidRPr="00264864">
        <w:rPr>
          <w:rFonts w:ascii="Arial" w:eastAsia="Cambria" w:hAnsi="Arial" w:cs="Arial"/>
        </w:rPr>
        <w:t xml:space="preserve"> </w:t>
      </w:r>
      <w:r w:rsidRPr="00264864">
        <w:rPr>
          <w:rFonts w:ascii="Arial" w:eastAsia="Cambria" w:hAnsi="Arial" w:cs="Arial"/>
        </w:rPr>
        <w:t xml:space="preserve">de fecha </w:t>
      </w:r>
      <w:r w:rsidR="00264864">
        <w:rPr>
          <w:rFonts w:ascii="Arial" w:eastAsia="Cambria" w:hAnsi="Arial" w:cs="Arial"/>
        </w:rPr>
        <w:t>24 de noviembre de 2017, p</w:t>
      </w:r>
      <w:r w:rsidRPr="00264864">
        <w:rPr>
          <w:rFonts w:ascii="Arial" w:eastAsia="Cambria" w:hAnsi="Arial" w:cs="Arial"/>
        </w:rPr>
        <w:t>revia entrega de la factura que cuente con los requisitos legales y fiscales correspondientes.</w:t>
      </w:r>
    </w:p>
    <w:p w14:paraId="46F82695" w14:textId="77777777" w:rsidR="00D773C7" w:rsidRPr="00264864" w:rsidRDefault="00D773C7" w:rsidP="00E71201">
      <w:pPr>
        <w:pBdr>
          <w:top w:val="nil"/>
          <w:left w:val="nil"/>
          <w:bottom w:val="nil"/>
          <w:right w:val="nil"/>
          <w:between w:val="nil"/>
        </w:pBdr>
        <w:spacing w:after="0" w:line="360" w:lineRule="auto"/>
        <w:jc w:val="both"/>
        <w:rPr>
          <w:rFonts w:ascii="Arial" w:eastAsia="Cambria" w:hAnsi="Arial" w:cs="Arial"/>
        </w:rPr>
      </w:pPr>
    </w:p>
    <w:p w14:paraId="38ECEFFB" w14:textId="77777777" w:rsidR="00946FD1" w:rsidRPr="00D61984" w:rsidRDefault="00946FD1" w:rsidP="00D61984">
      <w:pPr>
        <w:pStyle w:val="Prrafodelista"/>
        <w:numPr>
          <w:ilvl w:val="0"/>
          <w:numId w:val="13"/>
        </w:numPr>
        <w:spacing w:after="0" w:line="360" w:lineRule="auto"/>
        <w:jc w:val="both"/>
        <w:rPr>
          <w:rFonts w:ascii="Arial" w:eastAsia="Cambria" w:hAnsi="Arial" w:cs="Arial"/>
          <w:b/>
          <w:sz w:val="24"/>
          <w:szCs w:val="24"/>
        </w:rPr>
      </w:pPr>
      <w:r w:rsidRPr="00D61984">
        <w:rPr>
          <w:rFonts w:ascii="Arial" w:eastAsia="Cambria" w:hAnsi="Arial" w:cs="Arial"/>
          <w:b/>
          <w:sz w:val="24"/>
          <w:szCs w:val="24"/>
        </w:rPr>
        <w:t>Valuación Actuarial</w:t>
      </w:r>
    </w:p>
    <w:p w14:paraId="74BF3F74" w14:textId="684A8EA6" w:rsidR="00946FD1" w:rsidRPr="00D61984" w:rsidRDefault="00946FD1" w:rsidP="009329C7">
      <w:pPr>
        <w:pStyle w:val="Prrafodelista"/>
        <w:spacing w:line="360" w:lineRule="auto"/>
        <w:ind w:left="426"/>
        <w:jc w:val="both"/>
        <w:rPr>
          <w:rFonts w:ascii="Arial" w:hAnsi="Arial" w:cs="Arial"/>
        </w:rPr>
      </w:pPr>
      <w:r w:rsidRPr="00D61984">
        <w:rPr>
          <w:rFonts w:ascii="Arial" w:eastAsia="Cambria" w:hAnsi="Arial" w:cs="Arial"/>
        </w:rPr>
        <w:t>Con el propósito de dar cumplimiento</w:t>
      </w:r>
      <w:r w:rsidR="009C23C1" w:rsidRPr="00D61984">
        <w:rPr>
          <w:rFonts w:ascii="Arial" w:eastAsia="Cambria" w:hAnsi="Arial" w:cs="Arial"/>
        </w:rPr>
        <w:t xml:space="preserve"> a lo dispuesto en el artículo 18</w:t>
      </w:r>
      <w:r w:rsidRPr="00D61984">
        <w:rPr>
          <w:rFonts w:ascii="Arial" w:eastAsia="Cambria" w:hAnsi="Arial" w:cs="Arial"/>
        </w:rPr>
        <w:t xml:space="preserve"> fracción </w:t>
      </w:r>
      <w:r w:rsidR="009C23C1" w:rsidRPr="00D61984">
        <w:rPr>
          <w:rFonts w:ascii="Arial" w:eastAsia="Cambria" w:hAnsi="Arial" w:cs="Arial"/>
        </w:rPr>
        <w:t>I</w:t>
      </w:r>
      <w:r w:rsidRPr="00D61984">
        <w:rPr>
          <w:rFonts w:ascii="Arial" w:eastAsia="Cambria" w:hAnsi="Arial" w:cs="Arial"/>
        </w:rPr>
        <w:t xml:space="preserve">V de la </w:t>
      </w:r>
      <w:r w:rsidRPr="00D61984">
        <w:rPr>
          <w:rFonts w:ascii="Arial" w:hAnsi="Arial" w:cs="Arial"/>
        </w:rPr>
        <w:t>L</w:t>
      </w:r>
      <w:r w:rsidRPr="00D61984">
        <w:rPr>
          <w:rFonts w:ascii="Arial" w:eastAsia="Cambria" w:hAnsi="Arial" w:cs="Arial"/>
        </w:rPr>
        <w:t xml:space="preserve">ey de Disciplina Financiera de las Entidades Federativas y los Municipios, El Ayuntamiento de Mérida tiene su última valuación </w:t>
      </w:r>
      <w:r w:rsidRPr="00D61984">
        <w:rPr>
          <w:rFonts w:ascii="Arial" w:hAnsi="Arial" w:cs="Arial"/>
        </w:rPr>
        <w:t>actuarial de las pensiones de sus trabaja</w:t>
      </w:r>
      <w:r w:rsidR="00C9657D" w:rsidRPr="00D61984">
        <w:rPr>
          <w:rFonts w:ascii="Arial" w:hAnsi="Arial" w:cs="Arial"/>
        </w:rPr>
        <w:t>dores al 31 de Diciembre</w:t>
      </w:r>
      <w:r w:rsidR="007800D7" w:rsidRPr="00D61984">
        <w:rPr>
          <w:rFonts w:ascii="Arial" w:hAnsi="Arial" w:cs="Arial"/>
        </w:rPr>
        <w:t xml:space="preserve"> de 202</w:t>
      </w:r>
      <w:r w:rsidR="002F070D">
        <w:rPr>
          <w:rFonts w:ascii="Arial" w:hAnsi="Arial" w:cs="Arial"/>
        </w:rPr>
        <w:t>2</w:t>
      </w:r>
      <w:r w:rsidRPr="00D61984">
        <w:rPr>
          <w:rFonts w:ascii="Arial" w:hAnsi="Arial" w:cs="Arial"/>
        </w:rPr>
        <w:t>.</w:t>
      </w:r>
    </w:p>
    <w:p w14:paraId="67F24C16" w14:textId="77777777" w:rsidR="00B8451A" w:rsidRDefault="00946FD1" w:rsidP="00554417">
      <w:pPr>
        <w:spacing w:line="360" w:lineRule="auto"/>
        <w:ind w:left="426"/>
        <w:jc w:val="both"/>
        <w:rPr>
          <w:rFonts w:ascii="Arial" w:hAnsi="Arial" w:cs="Arial"/>
          <w:color w:val="000000"/>
          <w:lang w:eastAsia="es-MX"/>
        </w:rPr>
      </w:pPr>
      <w:r w:rsidRPr="00D61984">
        <w:rPr>
          <w:rFonts w:ascii="Arial" w:hAnsi="Arial" w:cs="Arial"/>
          <w:color w:val="000000"/>
          <w:lang w:eastAsia="es-MX"/>
        </w:rPr>
        <w:t>La presente valuación cumple con los lineamientos de la Norma de Información Financiera, NIF, D-3 “Beneficios a los empleados”, la información referente al SIRJUM se incorpora como instrumento auxiliar de financiamiento, debido a que el SIRJUM y el CGT son estructuras de beneficios distintos, así como sus esquemas de financiamiento; con ello se incorpora el esfuerzo presupuestal de la administración municipal.</w:t>
      </w:r>
    </w:p>
    <w:p w14:paraId="0F4F59E3" w14:textId="77777777" w:rsidR="002F070D" w:rsidRDefault="002F070D" w:rsidP="00554417">
      <w:pPr>
        <w:spacing w:line="360" w:lineRule="auto"/>
        <w:ind w:left="426"/>
        <w:jc w:val="both"/>
        <w:rPr>
          <w:rFonts w:ascii="Arial" w:hAnsi="Arial" w:cs="Arial"/>
          <w:color w:val="000000"/>
          <w:lang w:eastAsia="es-MX"/>
        </w:rPr>
      </w:pPr>
    </w:p>
    <w:p w14:paraId="72381C4C" w14:textId="77777777" w:rsidR="002F070D" w:rsidRDefault="002F070D" w:rsidP="00554417">
      <w:pPr>
        <w:spacing w:line="360" w:lineRule="auto"/>
        <w:ind w:left="426"/>
        <w:jc w:val="both"/>
        <w:rPr>
          <w:rFonts w:ascii="Arial" w:hAnsi="Arial" w:cs="Arial"/>
          <w:color w:val="000000"/>
          <w:lang w:eastAsia="es-MX"/>
        </w:rPr>
      </w:pPr>
    </w:p>
    <w:p w14:paraId="6DA290B5" w14:textId="77777777" w:rsidR="002F070D" w:rsidRDefault="002F070D" w:rsidP="00554417">
      <w:pPr>
        <w:spacing w:line="360" w:lineRule="auto"/>
        <w:ind w:left="426"/>
        <w:jc w:val="both"/>
        <w:rPr>
          <w:rFonts w:ascii="Arial" w:hAnsi="Arial" w:cs="Arial"/>
          <w:color w:val="000000"/>
          <w:lang w:eastAsia="es-MX"/>
        </w:rPr>
      </w:pPr>
    </w:p>
    <w:p w14:paraId="10966EC3" w14:textId="77777777" w:rsidR="002F070D" w:rsidRPr="00554417" w:rsidRDefault="002F070D" w:rsidP="00554417">
      <w:pPr>
        <w:spacing w:line="360" w:lineRule="auto"/>
        <w:ind w:left="426"/>
        <w:jc w:val="both"/>
        <w:rPr>
          <w:rFonts w:ascii="Arial" w:hAnsi="Arial" w:cs="Arial"/>
          <w:color w:val="000000"/>
          <w:lang w:eastAsia="es-MX"/>
        </w:rPr>
      </w:pPr>
    </w:p>
    <w:p w14:paraId="555DC713" w14:textId="02F7366E" w:rsidR="00946FD1" w:rsidRDefault="00DA36DF" w:rsidP="008F11FD">
      <w:pPr>
        <w:spacing w:line="360" w:lineRule="auto"/>
        <w:ind w:left="426"/>
        <w:jc w:val="center"/>
        <w:rPr>
          <w:rFonts w:ascii="Cambria" w:hAnsi="Cambria" w:cs="Century Gothic"/>
          <w:b/>
          <w:color w:val="000000"/>
          <w:sz w:val="24"/>
          <w:szCs w:val="24"/>
          <w:lang w:eastAsia="es-MX"/>
        </w:rPr>
      </w:pPr>
      <w:r w:rsidRPr="005E7FD2">
        <w:rPr>
          <w:rFonts w:ascii="Cambria" w:hAnsi="Cambria" w:cs="Century Gothic"/>
          <w:b/>
          <w:color w:val="000000"/>
          <w:sz w:val="24"/>
          <w:szCs w:val="24"/>
          <w:lang w:eastAsia="es-MX"/>
        </w:rPr>
        <w:t xml:space="preserve">VALUACION ACTUARIAL AL 31 DE </w:t>
      </w:r>
      <w:r w:rsidR="00BD444B">
        <w:rPr>
          <w:rFonts w:ascii="Cambria" w:hAnsi="Cambria" w:cs="Century Gothic"/>
          <w:b/>
          <w:color w:val="000000"/>
          <w:sz w:val="24"/>
          <w:szCs w:val="24"/>
          <w:lang w:eastAsia="es-MX"/>
        </w:rPr>
        <w:t>DICIEMBRE</w:t>
      </w:r>
      <w:r w:rsidRPr="005E7FD2">
        <w:rPr>
          <w:rFonts w:ascii="Cambria" w:hAnsi="Cambria" w:cs="Century Gothic"/>
          <w:b/>
          <w:color w:val="000000"/>
          <w:sz w:val="24"/>
          <w:szCs w:val="24"/>
          <w:lang w:eastAsia="es-MX"/>
        </w:rPr>
        <w:t xml:space="preserve"> DE 202</w:t>
      </w:r>
      <w:r w:rsidR="002F070D">
        <w:rPr>
          <w:rFonts w:ascii="Cambria" w:hAnsi="Cambria" w:cs="Century Gothic"/>
          <w:b/>
          <w:color w:val="000000"/>
          <w:sz w:val="24"/>
          <w:szCs w:val="24"/>
          <w:lang w:eastAsia="es-MX"/>
        </w:rPr>
        <w:t>2</w:t>
      </w:r>
    </w:p>
    <w:p w14:paraId="77542A59" w14:textId="41BE08EE" w:rsidR="002F070D" w:rsidRPr="008F11FD" w:rsidRDefault="002F070D" w:rsidP="008F11FD">
      <w:pPr>
        <w:spacing w:line="360" w:lineRule="auto"/>
        <w:ind w:left="426"/>
        <w:jc w:val="center"/>
        <w:rPr>
          <w:rFonts w:ascii="Arial" w:hAnsi="Arial" w:cs="Arial"/>
          <w:color w:val="000000"/>
          <w:lang w:eastAsia="es-MX"/>
        </w:rPr>
      </w:pPr>
      <w:r w:rsidRPr="002F070D">
        <w:rPr>
          <w:noProof/>
        </w:rPr>
        <w:drawing>
          <wp:inline distT="0" distB="0" distL="0" distR="0" wp14:anchorId="326972E5" wp14:editId="12698C44">
            <wp:extent cx="5612130" cy="4103370"/>
            <wp:effectExtent l="0" t="0" r="762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612130" cy="4103370"/>
                    </a:xfrm>
                    <a:prstGeom prst="rect">
                      <a:avLst/>
                    </a:prstGeom>
                  </pic:spPr>
                </pic:pic>
              </a:graphicData>
            </a:graphic>
          </wp:inline>
        </w:drawing>
      </w:r>
    </w:p>
    <w:p w14:paraId="09AB1100" w14:textId="77777777" w:rsidR="00F125F0" w:rsidRPr="008F11FD" w:rsidRDefault="00F125F0" w:rsidP="008F11FD">
      <w:pPr>
        <w:jc w:val="center"/>
        <w:rPr>
          <w:rFonts w:ascii="Cambria" w:hAnsi="Cambria" w:cs="Century Gothic"/>
          <w:b/>
          <w:color w:val="000000"/>
          <w:sz w:val="24"/>
          <w:szCs w:val="24"/>
          <w:lang w:eastAsia="es-MX"/>
        </w:rPr>
      </w:pPr>
    </w:p>
    <w:p w14:paraId="02B7F276" w14:textId="77777777" w:rsidR="009B4693" w:rsidRDefault="009B4693" w:rsidP="009C54C9">
      <w:pPr>
        <w:pStyle w:val="Sinespaciado"/>
        <w:rPr>
          <w:rFonts w:ascii="Arial" w:hAnsi="Arial" w:cs="Arial"/>
          <w:b/>
          <w:sz w:val="28"/>
          <w:szCs w:val="28"/>
        </w:rPr>
      </w:pPr>
    </w:p>
    <w:p w14:paraId="65DD5AF4" w14:textId="77777777" w:rsidR="009B4693" w:rsidRDefault="009B4693" w:rsidP="009C54C9">
      <w:pPr>
        <w:pStyle w:val="Sinespaciado"/>
        <w:rPr>
          <w:rFonts w:ascii="Arial" w:hAnsi="Arial" w:cs="Arial"/>
          <w:b/>
          <w:sz w:val="28"/>
          <w:szCs w:val="28"/>
        </w:rPr>
      </w:pPr>
    </w:p>
    <w:p w14:paraId="77F7246C" w14:textId="77777777" w:rsidR="009B4693" w:rsidRDefault="009B4693" w:rsidP="009C54C9">
      <w:pPr>
        <w:pStyle w:val="Sinespaciado"/>
        <w:rPr>
          <w:rFonts w:ascii="Arial" w:hAnsi="Arial" w:cs="Arial"/>
          <w:b/>
          <w:sz w:val="28"/>
          <w:szCs w:val="28"/>
        </w:rPr>
      </w:pPr>
    </w:p>
    <w:p w14:paraId="5F3D35A6" w14:textId="77777777" w:rsidR="009B4693" w:rsidRDefault="009B4693" w:rsidP="009C54C9">
      <w:pPr>
        <w:pStyle w:val="Sinespaciado"/>
        <w:rPr>
          <w:rFonts w:ascii="Arial" w:hAnsi="Arial" w:cs="Arial"/>
          <w:b/>
          <w:sz w:val="28"/>
          <w:szCs w:val="28"/>
        </w:rPr>
      </w:pPr>
    </w:p>
    <w:p w14:paraId="4A40093B" w14:textId="77777777" w:rsidR="009B4693" w:rsidRDefault="009B4693" w:rsidP="009C54C9">
      <w:pPr>
        <w:pStyle w:val="Sinespaciado"/>
        <w:rPr>
          <w:rFonts w:ascii="Arial" w:hAnsi="Arial" w:cs="Arial"/>
          <w:b/>
          <w:sz w:val="28"/>
          <w:szCs w:val="28"/>
        </w:rPr>
      </w:pPr>
    </w:p>
    <w:p w14:paraId="15AEF3CE" w14:textId="77777777" w:rsidR="009B4693" w:rsidRDefault="009B4693" w:rsidP="009C54C9">
      <w:pPr>
        <w:pStyle w:val="Sinespaciado"/>
        <w:rPr>
          <w:rFonts w:ascii="Arial" w:hAnsi="Arial" w:cs="Arial"/>
          <w:b/>
          <w:sz w:val="28"/>
          <w:szCs w:val="28"/>
        </w:rPr>
      </w:pPr>
    </w:p>
    <w:p w14:paraId="73CBD15E" w14:textId="77777777" w:rsidR="009B4693" w:rsidRDefault="009B4693" w:rsidP="009C54C9">
      <w:pPr>
        <w:pStyle w:val="Sinespaciado"/>
        <w:rPr>
          <w:rFonts w:ascii="Arial" w:hAnsi="Arial" w:cs="Arial"/>
          <w:b/>
          <w:sz w:val="28"/>
          <w:szCs w:val="28"/>
        </w:rPr>
      </w:pPr>
    </w:p>
    <w:p w14:paraId="6D2BF171" w14:textId="77777777" w:rsidR="009B4693" w:rsidRDefault="009B4693" w:rsidP="009C54C9">
      <w:pPr>
        <w:pStyle w:val="Sinespaciado"/>
        <w:rPr>
          <w:rFonts w:ascii="Arial" w:hAnsi="Arial" w:cs="Arial"/>
          <w:b/>
          <w:sz w:val="28"/>
          <w:szCs w:val="28"/>
        </w:rPr>
      </w:pPr>
    </w:p>
    <w:p w14:paraId="069A5472" w14:textId="77777777" w:rsidR="00544498" w:rsidRDefault="00544498" w:rsidP="00B24DF2">
      <w:pPr>
        <w:pStyle w:val="Sinespaciado"/>
        <w:tabs>
          <w:tab w:val="left" w:pos="709"/>
        </w:tabs>
        <w:rPr>
          <w:rFonts w:ascii="Arial" w:hAnsi="Arial" w:cs="Arial"/>
          <w:b/>
          <w:sz w:val="28"/>
          <w:szCs w:val="28"/>
        </w:rPr>
      </w:pPr>
    </w:p>
    <w:p w14:paraId="70C21BAB" w14:textId="77777777" w:rsidR="00B24DF2" w:rsidRDefault="00B24DF2" w:rsidP="00B24DF2">
      <w:pPr>
        <w:pStyle w:val="Sinespaciado"/>
        <w:tabs>
          <w:tab w:val="left" w:pos="709"/>
        </w:tabs>
        <w:rPr>
          <w:rFonts w:ascii="Arial" w:hAnsi="Arial" w:cs="Arial"/>
          <w:b/>
          <w:sz w:val="28"/>
          <w:szCs w:val="28"/>
        </w:rPr>
      </w:pPr>
    </w:p>
    <w:p w14:paraId="2BDBEE7D" w14:textId="69A64DB6" w:rsidR="00CF6A99" w:rsidRDefault="00CF6A99" w:rsidP="00282A7A">
      <w:pPr>
        <w:pStyle w:val="Sinespaciado"/>
        <w:tabs>
          <w:tab w:val="left" w:pos="709"/>
        </w:tabs>
        <w:ind w:left="284"/>
        <w:rPr>
          <w:rFonts w:ascii="Arial" w:hAnsi="Arial" w:cs="Arial"/>
          <w:b/>
          <w:sz w:val="28"/>
          <w:szCs w:val="28"/>
        </w:rPr>
      </w:pPr>
      <w:r w:rsidRPr="009C54C9">
        <w:rPr>
          <w:rFonts w:ascii="Arial" w:hAnsi="Arial" w:cs="Arial"/>
          <w:b/>
          <w:sz w:val="28"/>
          <w:szCs w:val="28"/>
        </w:rPr>
        <w:lastRenderedPageBreak/>
        <w:t>II)</w:t>
      </w:r>
      <w:r w:rsidRPr="009C54C9">
        <w:rPr>
          <w:rFonts w:ascii="Arial" w:hAnsi="Arial" w:cs="Arial"/>
          <w:b/>
          <w:sz w:val="28"/>
          <w:szCs w:val="28"/>
        </w:rPr>
        <w:tab/>
        <w:t>Notas al Estado de Actividades</w:t>
      </w:r>
    </w:p>
    <w:p w14:paraId="2F590C13" w14:textId="77777777" w:rsidR="00DA36DF" w:rsidRPr="009C54C9" w:rsidRDefault="00DA36DF" w:rsidP="009C54C9">
      <w:pPr>
        <w:pStyle w:val="Sinespaciado"/>
        <w:rPr>
          <w:rFonts w:ascii="Arial" w:hAnsi="Arial" w:cs="Arial"/>
          <w:b/>
          <w:sz w:val="28"/>
          <w:szCs w:val="28"/>
        </w:rPr>
      </w:pPr>
    </w:p>
    <w:p w14:paraId="06310681" w14:textId="77777777" w:rsidR="00DA36DF" w:rsidRDefault="00CF6A99" w:rsidP="00C862E3">
      <w:pPr>
        <w:pStyle w:val="Prrafodelista"/>
        <w:numPr>
          <w:ilvl w:val="0"/>
          <w:numId w:val="14"/>
        </w:numPr>
        <w:spacing w:after="101" w:line="224" w:lineRule="exact"/>
        <w:ind w:left="1134" w:hanging="283"/>
        <w:jc w:val="both"/>
        <w:rPr>
          <w:rFonts w:cs="Arial"/>
          <w:b/>
          <w:sz w:val="24"/>
          <w:szCs w:val="24"/>
        </w:rPr>
      </w:pPr>
      <w:r w:rsidRPr="0066134C">
        <w:rPr>
          <w:rFonts w:cs="Arial"/>
          <w:b/>
          <w:sz w:val="24"/>
          <w:szCs w:val="24"/>
        </w:rPr>
        <w:t>Ingresos de Gestión</w:t>
      </w:r>
    </w:p>
    <w:p w14:paraId="21D32EEC" w14:textId="77777777" w:rsidR="00BD444B" w:rsidRPr="0066134C" w:rsidRDefault="00BD444B" w:rsidP="00BD444B">
      <w:pPr>
        <w:pStyle w:val="Prrafodelista"/>
        <w:spacing w:after="101" w:line="224" w:lineRule="exact"/>
        <w:ind w:left="1440"/>
        <w:jc w:val="both"/>
        <w:rPr>
          <w:rFonts w:cs="Arial"/>
          <w:b/>
          <w:sz w:val="24"/>
          <w:szCs w:val="24"/>
        </w:rPr>
      </w:pPr>
    </w:p>
    <w:p w14:paraId="3DBBE615" w14:textId="77777777" w:rsidR="00A15C99" w:rsidRDefault="00DA36DF" w:rsidP="008F11FD">
      <w:pPr>
        <w:pStyle w:val="Prrafodelista"/>
        <w:tabs>
          <w:tab w:val="left" w:pos="1418"/>
        </w:tabs>
        <w:spacing w:line="360" w:lineRule="auto"/>
        <w:ind w:left="1416"/>
        <w:jc w:val="both"/>
        <w:rPr>
          <w:rFonts w:ascii="Arial" w:hAnsi="Arial" w:cs="Arial"/>
          <w:lang w:val="es-ES"/>
        </w:rPr>
      </w:pPr>
      <w:r w:rsidRPr="009329C7">
        <w:rPr>
          <w:rFonts w:ascii="Arial" w:hAnsi="Arial" w:cs="Arial"/>
          <w:lang w:val="es-ES"/>
        </w:rPr>
        <w:t>Comprende el importe de los ingresos provenientes de contribuciones, productos, aprovechamientos, así como de venta de bienes y prestación de servicios.</w:t>
      </w:r>
    </w:p>
    <w:p w14:paraId="18F33F3A" w14:textId="758F3AE3" w:rsidR="00E71201" w:rsidRPr="00D63265" w:rsidRDefault="00544498" w:rsidP="00D63265">
      <w:pPr>
        <w:pStyle w:val="Prrafodelista"/>
        <w:ind w:left="709"/>
        <w:jc w:val="center"/>
        <w:rPr>
          <w:sz w:val="24"/>
          <w:szCs w:val="24"/>
          <w:lang w:val="es-ES"/>
        </w:rPr>
      </w:pPr>
      <w:r w:rsidRPr="00544498">
        <w:rPr>
          <w:noProof/>
          <w:lang w:eastAsia="es-MX"/>
        </w:rPr>
        <w:drawing>
          <wp:inline distT="0" distB="0" distL="0" distR="0" wp14:anchorId="19AC2A8C" wp14:editId="44D49D99">
            <wp:extent cx="5913912" cy="6329680"/>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15185" cy="6331043"/>
                    </a:xfrm>
                    <a:prstGeom prst="rect">
                      <a:avLst/>
                    </a:prstGeom>
                    <a:noFill/>
                    <a:ln>
                      <a:noFill/>
                    </a:ln>
                  </pic:spPr>
                </pic:pic>
              </a:graphicData>
            </a:graphic>
          </wp:inline>
        </w:drawing>
      </w:r>
    </w:p>
    <w:p w14:paraId="46CD6345" w14:textId="77777777" w:rsidR="00E71201" w:rsidRPr="00E71201" w:rsidRDefault="00E71201" w:rsidP="00432DE7">
      <w:pPr>
        <w:jc w:val="center"/>
        <w:rPr>
          <w:rFonts w:ascii="Cambria" w:hAnsi="Cambria"/>
          <w:lang w:val="es-ES"/>
        </w:rPr>
      </w:pPr>
    </w:p>
    <w:p w14:paraId="506627AE" w14:textId="77777777" w:rsidR="00E66333" w:rsidRDefault="00E66333" w:rsidP="00E66333">
      <w:pPr>
        <w:pStyle w:val="Prrafodelista"/>
        <w:ind w:left="1146"/>
        <w:jc w:val="both"/>
        <w:rPr>
          <w:rFonts w:ascii="Cambria" w:eastAsia="Cambria" w:hAnsi="Cambria" w:cs="Cambria"/>
          <w:b/>
          <w:sz w:val="24"/>
          <w:szCs w:val="24"/>
        </w:rPr>
      </w:pPr>
    </w:p>
    <w:p w14:paraId="7A0D2156" w14:textId="77777777" w:rsidR="00F53266" w:rsidRDefault="00F53266" w:rsidP="00E66333">
      <w:pPr>
        <w:pStyle w:val="Prrafodelista"/>
        <w:ind w:left="1146"/>
        <w:jc w:val="both"/>
        <w:rPr>
          <w:rFonts w:ascii="Cambria" w:eastAsia="Cambria" w:hAnsi="Cambria" w:cs="Cambria"/>
          <w:b/>
          <w:sz w:val="24"/>
          <w:szCs w:val="24"/>
        </w:rPr>
      </w:pPr>
    </w:p>
    <w:p w14:paraId="64C4EC5B" w14:textId="77777777" w:rsidR="00F53266" w:rsidRDefault="00F53266" w:rsidP="00E66333">
      <w:pPr>
        <w:pStyle w:val="Prrafodelista"/>
        <w:ind w:left="1146"/>
        <w:jc w:val="both"/>
        <w:rPr>
          <w:rFonts w:ascii="Cambria" w:eastAsia="Cambria" w:hAnsi="Cambria" w:cs="Cambria"/>
          <w:b/>
          <w:sz w:val="24"/>
          <w:szCs w:val="24"/>
        </w:rPr>
      </w:pPr>
    </w:p>
    <w:p w14:paraId="71AC52AC" w14:textId="77777777" w:rsidR="00F53266" w:rsidRDefault="00F53266" w:rsidP="00E66333">
      <w:pPr>
        <w:pStyle w:val="Prrafodelista"/>
        <w:ind w:left="1146"/>
        <w:jc w:val="both"/>
        <w:rPr>
          <w:rFonts w:ascii="Cambria" w:eastAsia="Cambria" w:hAnsi="Cambria" w:cs="Cambria"/>
          <w:b/>
          <w:sz w:val="24"/>
          <w:szCs w:val="24"/>
        </w:rPr>
      </w:pPr>
    </w:p>
    <w:p w14:paraId="7AEC74BC" w14:textId="77777777" w:rsidR="00F53266" w:rsidRDefault="00F53266" w:rsidP="00D013F6">
      <w:pPr>
        <w:pStyle w:val="Prrafodelista"/>
        <w:ind w:left="1146"/>
        <w:jc w:val="both"/>
        <w:rPr>
          <w:rFonts w:ascii="Cambria" w:eastAsia="Cambria" w:hAnsi="Cambria" w:cs="Cambria"/>
          <w:b/>
          <w:sz w:val="24"/>
          <w:szCs w:val="24"/>
        </w:rPr>
      </w:pPr>
    </w:p>
    <w:p w14:paraId="5C4751FF" w14:textId="77777777" w:rsidR="00F53266" w:rsidRPr="00D013F6" w:rsidRDefault="00F53266" w:rsidP="00D013F6">
      <w:pPr>
        <w:jc w:val="both"/>
        <w:rPr>
          <w:rFonts w:ascii="Cambria" w:eastAsia="Cambria" w:hAnsi="Cambria" w:cs="Cambria"/>
          <w:b/>
          <w:sz w:val="24"/>
          <w:szCs w:val="24"/>
        </w:rPr>
      </w:pPr>
    </w:p>
    <w:p w14:paraId="5B876831" w14:textId="389D9788" w:rsidR="00F53266" w:rsidRDefault="00544498" w:rsidP="00F53266">
      <w:r w:rsidRPr="00544498">
        <w:rPr>
          <w:noProof/>
          <w:lang w:eastAsia="es-MX"/>
        </w:rPr>
        <w:drawing>
          <wp:inline distT="0" distB="0" distL="0" distR="0" wp14:anchorId="784AFEB3" wp14:editId="6437C257">
            <wp:extent cx="6187044" cy="3491135"/>
            <wp:effectExtent l="0" t="0" r="4445"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90546" cy="3493111"/>
                    </a:xfrm>
                    <a:prstGeom prst="rect">
                      <a:avLst/>
                    </a:prstGeom>
                    <a:noFill/>
                    <a:ln>
                      <a:noFill/>
                    </a:ln>
                  </pic:spPr>
                </pic:pic>
              </a:graphicData>
            </a:graphic>
          </wp:inline>
        </w:drawing>
      </w:r>
    </w:p>
    <w:p w14:paraId="55684EC7" w14:textId="77777777" w:rsidR="00F53266" w:rsidRDefault="00F53266" w:rsidP="00F53266">
      <w:pPr>
        <w:pStyle w:val="Prrafodelista"/>
        <w:ind w:left="1146"/>
        <w:jc w:val="both"/>
        <w:rPr>
          <w:rFonts w:ascii="Cambria" w:eastAsia="Cambria" w:hAnsi="Cambria" w:cs="Cambria"/>
          <w:b/>
          <w:sz w:val="24"/>
          <w:szCs w:val="24"/>
        </w:rPr>
      </w:pPr>
    </w:p>
    <w:p w14:paraId="1DA30FFF" w14:textId="77777777" w:rsidR="00DA36DF" w:rsidRPr="0066134C" w:rsidRDefault="00DA36DF" w:rsidP="00DA36DF">
      <w:pPr>
        <w:pStyle w:val="Prrafodelista"/>
        <w:numPr>
          <w:ilvl w:val="0"/>
          <w:numId w:val="16"/>
        </w:numPr>
        <w:jc w:val="both"/>
        <w:rPr>
          <w:rFonts w:ascii="Cambria" w:eastAsia="Cambria" w:hAnsi="Cambria" w:cs="Cambria"/>
          <w:b/>
          <w:sz w:val="24"/>
          <w:szCs w:val="24"/>
        </w:rPr>
      </w:pPr>
      <w:r w:rsidRPr="0066134C">
        <w:rPr>
          <w:rFonts w:ascii="Cambria" w:eastAsia="Cambria" w:hAnsi="Cambria" w:cs="Cambria"/>
          <w:b/>
          <w:sz w:val="24"/>
          <w:szCs w:val="24"/>
        </w:rPr>
        <w:t>Participaciones, Aportaciones, Convenios, Incentivos Derivados de la Colaboración Fiscal, Fondos Distintos de Aportaciones, Transferencias, Asignaciones, Subsidios y Subvenciones, y Pensiones y Jubilaciones</w:t>
      </w:r>
    </w:p>
    <w:p w14:paraId="13A96C1A" w14:textId="457811DC" w:rsidR="00DA36DF" w:rsidRPr="008923A1" w:rsidRDefault="00DA36DF" w:rsidP="008923A1">
      <w:pPr>
        <w:spacing w:line="360" w:lineRule="auto"/>
        <w:ind w:left="1146"/>
        <w:jc w:val="both"/>
        <w:rPr>
          <w:rFonts w:ascii="Arial" w:hAnsi="Arial" w:cs="Arial"/>
          <w:lang w:val="es-ES" w:eastAsia="es-ES"/>
        </w:rPr>
      </w:pPr>
      <w:r w:rsidRPr="008923A1">
        <w:rPr>
          <w:rFonts w:ascii="Arial" w:hAnsi="Arial" w:cs="Arial"/>
          <w:lang w:val="es-ES" w:eastAsia="es-ES"/>
        </w:rPr>
        <w:t>Comprende el importe de los recursos que reciben las Entidades Federativas y Municipios por concepto de participaciones, aportaciones, convenios, incentivos derivados de la colaboración fiscal, fondos distintos de aportaciones; así como los ingresos de los entes públicos que provenientes de transferencias, asignaciones, subsidios y subvencion</w:t>
      </w:r>
      <w:r w:rsidR="00927878" w:rsidRPr="008923A1">
        <w:rPr>
          <w:rFonts w:ascii="Arial" w:hAnsi="Arial" w:cs="Arial"/>
          <w:lang w:val="es-ES" w:eastAsia="es-ES"/>
        </w:rPr>
        <w:t>es, y pensiones y jubilaciones.</w:t>
      </w:r>
    </w:p>
    <w:p w14:paraId="0032CBC8" w14:textId="0A0D48E9" w:rsidR="004A3107" w:rsidRDefault="0051291F" w:rsidP="00F53266">
      <w:pPr>
        <w:ind w:left="1146"/>
        <w:jc w:val="center"/>
        <w:rPr>
          <w:rFonts w:ascii="Cambria" w:hAnsi="Cambria"/>
          <w:sz w:val="24"/>
          <w:szCs w:val="24"/>
          <w:lang w:val="es-ES" w:eastAsia="es-ES"/>
        </w:rPr>
      </w:pPr>
      <w:r w:rsidRPr="0051291F">
        <w:rPr>
          <w:noProof/>
          <w:lang w:eastAsia="es-MX"/>
        </w:rPr>
        <w:lastRenderedPageBreak/>
        <w:drawing>
          <wp:inline distT="0" distB="0" distL="0" distR="0" wp14:anchorId="66005F2B" wp14:editId="1137223D">
            <wp:extent cx="4120457" cy="1009650"/>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21423" cy="1009887"/>
                    </a:xfrm>
                    <a:prstGeom prst="rect">
                      <a:avLst/>
                    </a:prstGeom>
                    <a:noFill/>
                    <a:ln>
                      <a:noFill/>
                    </a:ln>
                  </pic:spPr>
                </pic:pic>
              </a:graphicData>
            </a:graphic>
          </wp:inline>
        </w:drawing>
      </w:r>
    </w:p>
    <w:p w14:paraId="69D8402C" w14:textId="77777777" w:rsidR="00DA36DF" w:rsidRPr="007F042B" w:rsidRDefault="00DA36DF" w:rsidP="00DA36DF">
      <w:pPr>
        <w:pStyle w:val="Prrafodelista"/>
        <w:numPr>
          <w:ilvl w:val="0"/>
          <w:numId w:val="16"/>
        </w:numPr>
        <w:spacing w:after="0" w:line="240" w:lineRule="auto"/>
        <w:contextualSpacing w:val="0"/>
        <w:jc w:val="both"/>
        <w:rPr>
          <w:rFonts w:ascii="Cambria" w:eastAsia="Cambria" w:hAnsi="Cambria" w:cs="Cambria"/>
          <w:b/>
          <w:sz w:val="24"/>
          <w:szCs w:val="24"/>
        </w:rPr>
      </w:pPr>
      <w:r w:rsidRPr="007F042B">
        <w:rPr>
          <w:rFonts w:ascii="Cambria" w:eastAsia="Cambria" w:hAnsi="Cambria" w:cs="Cambria"/>
          <w:b/>
          <w:sz w:val="24"/>
          <w:szCs w:val="24"/>
        </w:rPr>
        <w:t>Otros Ingresos y Beneficios</w:t>
      </w:r>
    </w:p>
    <w:p w14:paraId="2822C887" w14:textId="77777777" w:rsidR="00DA36DF" w:rsidRPr="00DA36DF" w:rsidRDefault="00DA36DF" w:rsidP="00DA36DF">
      <w:pPr>
        <w:pStyle w:val="Prrafodelista"/>
        <w:spacing w:after="0" w:line="240" w:lineRule="auto"/>
        <w:ind w:left="1146"/>
        <w:contextualSpacing w:val="0"/>
        <w:jc w:val="both"/>
        <w:rPr>
          <w:rFonts w:ascii="Cambria" w:eastAsia="Cambria" w:hAnsi="Cambria" w:cs="Cambria"/>
          <w:b/>
        </w:rPr>
      </w:pPr>
    </w:p>
    <w:p w14:paraId="471F476A" w14:textId="47374E7E" w:rsidR="00A34AAB" w:rsidRDefault="00DA36DF" w:rsidP="008F4708">
      <w:pPr>
        <w:spacing w:line="360" w:lineRule="auto"/>
        <w:ind w:left="1146"/>
        <w:jc w:val="both"/>
        <w:rPr>
          <w:rFonts w:ascii="Arial" w:hAnsi="Arial" w:cs="Arial"/>
          <w:lang w:val="es-ES" w:eastAsia="es-ES"/>
        </w:rPr>
      </w:pPr>
      <w:r w:rsidRPr="008923A1">
        <w:rPr>
          <w:rFonts w:ascii="Arial" w:hAnsi="Arial" w:cs="Arial"/>
          <w:lang w:val="es-ES" w:eastAsia="es-ES"/>
        </w:rPr>
        <w:t>Comprende el importe de otros ingresos y beneficios obtenidos por los entes públicos, así como otros ingresos propios obtenidos por los Poderes Legislativo y Judicial, los Órganos Autónomos y las entidades de la administración pública paraestatal y paramunicipal por sus actividades diversas no inherentes a su operación que generan recursos y que no sean ingresos por venta de bienes o prestación de servicios.</w:t>
      </w:r>
    </w:p>
    <w:p w14:paraId="3A1D0345" w14:textId="5FB70E53" w:rsidR="00FB5D72" w:rsidRDefault="008F4708" w:rsidP="008F4708">
      <w:pPr>
        <w:pStyle w:val="Sinespaciado"/>
        <w:ind w:left="284"/>
        <w:jc w:val="center"/>
        <w:rPr>
          <w:rFonts w:ascii="Arial" w:hAnsi="Arial" w:cs="Arial"/>
          <w:b/>
          <w:sz w:val="28"/>
          <w:szCs w:val="28"/>
        </w:rPr>
      </w:pPr>
      <w:r w:rsidRPr="008F4708">
        <w:rPr>
          <w:noProof/>
          <w:lang w:eastAsia="es-MX"/>
        </w:rPr>
        <w:drawing>
          <wp:inline distT="0" distB="0" distL="0" distR="0" wp14:anchorId="3B17927E" wp14:editId="65AA0965">
            <wp:extent cx="3550920" cy="759790"/>
            <wp:effectExtent l="0" t="0" r="0" b="254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56736" cy="761035"/>
                    </a:xfrm>
                    <a:prstGeom prst="rect">
                      <a:avLst/>
                    </a:prstGeom>
                    <a:noFill/>
                    <a:ln>
                      <a:noFill/>
                    </a:ln>
                  </pic:spPr>
                </pic:pic>
              </a:graphicData>
            </a:graphic>
          </wp:inline>
        </w:drawing>
      </w:r>
    </w:p>
    <w:p w14:paraId="2D91F741" w14:textId="77777777" w:rsidR="00FB5D72" w:rsidRDefault="00FB5D72" w:rsidP="00282A7A">
      <w:pPr>
        <w:pStyle w:val="Sinespaciado"/>
        <w:ind w:left="284"/>
        <w:rPr>
          <w:rFonts w:ascii="Arial" w:hAnsi="Arial" w:cs="Arial"/>
          <w:b/>
          <w:sz w:val="28"/>
          <w:szCs w:val="28"/>
        </w:rPr>
      </w:pPr>
    </w:p>
    <w:p w14:paraId="204E6257" w14:textId="77777777" w:rsidR="00FB5D72" w:rsidRDefault="00FB5D72" w:rsidP="00282A7A">
      <w:pPr>
        <w:pStyle w:val="Sinespaciado"/>
        <w:ind w:left="284"/>
        <w:rPr>
          <w:rFonts w:ascii="Arial" w:hAnsi="Arial" w:cs="Arial"/>
          <w:b/>
          <w:sz w:val="28"/>
          <w:szCs w:val="28"/>
        </w:rPr>
      </w:pPr>
    </w:p>
    <w:p w14:paraId="16037A2A" w14:textId="53C74FD4" w:rsidR="00CF6A99" w:rsidRDefault="00CF6A99" w:rsidP="00282A7A">
      <w:pPr>
        <w:pStyle w:val="Sinespaciado"/>
        <w:ind w:left="284"/>
        <w:rPr>
          <w:rFonts w:ascii="Arial" w:hAnsi="Arial" w:cs="Arial"/>
          <w:b/>
          <w:sz w:val="28"/>
          <w:szCs w:val="28"/>
        </w:rPr>
      </w:pPr>
      <w:r w:rsidRPr="00A47281">
        <w:rPr>
          <w:rFonts w:ascii="Arial" w:hAnsi="Arial" w:cs="Arial"/>
          <w:b/>
          <w:sz w:val="28"/>
          <w:szCs w:val="28"/>
        </w:rPr>
        <w:t>III)</w:t>
      </w:r>
      <w:r w:rsidRPr="00A47281">
        <w:rPr>
          <w:rFonts w:ascii="Arial" w:hAnsi="Arial" w:cs="Arial"/>
          <w:b/>
          <w:sz w:val="28"/>
          <w:szCs w:val="28"/>
        </w:rPr>
        <w:tab/>
        <w:t>Notas al Estado de Variación en la Hacienda Pública</w:t>
      </w:r>
    </w:p>
    <w:p w14:paraId="1E7249C5" w14:textId="77777777" w:rsidR="00A47281" w:rsidRDefault="00A47281" w:rsidP="00A47281">
      <w:pPr>
        <w:pStyle w:val="Sinespaciado"/>
        <w:rPr>
          <w:rFonts w:ascii="Arial" w:hAnsi="Arial" w:cs="Arial"/>
          <w:b/>
          <w:sz w:val="28"/>
          <w:szCs w:val="28"/>
        </w:rPr>
      </w:pPr>
    </w:p>
    <w:p w14:paraId="2184BA00" w14:textId="77777777" w:rsidR="00A47281" w:rsidRPr="008923A1" w:rsidRDefault="00A47281" w:rsidP="008923A1">
      <w:pPr>
        <w:spacing w:line="360" w:lineRule="auto"/>
        <w:ind w:left="426"/>
        <w:jc w:val="both"/>
        <w:rPr>
          <w:rFonts w:ascii="Arial" w:eastAsia="Cambria" w:hAnsi="Arial" w:cs="Arial"/>
        </w:rPr>
      </w:pPr>
      <w:r w:rsidRPr="008923A1">
        <w:rPr>
          <w:rFonts w:ascii="Arial" w:eastAsia="Cambria" w:hAnsi="Arial" w:cs="Arial"/>
        </w:rPr>
        <w:t>La Hacienda Pública/Patrimonio corresponde a los activos netos que se entienden como la porción residual de los activos del ente público, una vez deducidos todos sus pasivos; en otras palabras, son derechos e inversiones que tiene el ente público menos sus deudas. Por lo tanto, el reconocimiento y valuación que se tenga de los activos y los pasivos repercutirá en la misma proporción en el valor de la Hacienda Pública / Patrimonio</w:t>
      </w:r>
    </w:p>
    <w:p w14:paraId="7BE044A6" w14:textId="6BA5716A" w:rsidR="000F068C" w:rsidRDefault="00A47281" w:rsidP="00E66333">
      <w:pPr>
        <w:spacing w:line="360" w:lineRule="auto"/>
        <w:ind w:left="426"/>
        <w:jc w:val="both"/>
        <w:rPr>
          <w:rFonts w:ascii="Arial" w:eastAsia="Cambria" w:hAnsi="Arial" w:cs="Arial"/>
        </w:rPr>
      </w:pPr>
      <w:r w:rsidRPr="008923A1">
        <w:rPr>
          <w:rFonts w:ascii="Arial" w:eastAsia="Cambria" w:hAnsi="Arial" w:cs="Arial"/>
        </w:rPr>
        <w:t xml:space="preserve">Las modificaciones en el rubro de Patrimonio generado ocurridas al cierre del mes de </w:t>
      </w:r>
      <w:r w:rsidR="008F4708">
        <w:rPr>
          <w:rFonts w:ascii="Arial" w:eastAsia="Cambria" w:hAnsi="Arial" w:cs="Arial"/>
        </w:rPr>
        <w:t>Dici</w:t>
      </w:r>
      <w:r w:rsidR="004B2192">
        <w:rPr>
          <w:rFonts w:ascii="Arial" w:eastAsia="Cambria" w:hAnsi="Arial" w:cs="Arial"/>
        </w:rPr>
        <w:t>embre</w:t>
      </w:r>
      <w:r w:rsidR="00B234E1">
        <w:rPr>
          <w:rFonts w:ascii="Arial" w:eastAsia="Cambria" w:hAnsi="Arial" w:cs="Arial"/>
        </w:rPr>
        <w:t xml:space="preserve"> </w:t>
      </w:r>
      <w:r w:rsidR="005330B5" w:rsidRPr="008923A1">
        <w:rPr>
          <w:rFonts w:ascii="Arial" w:eastAsia="Cambria" w:hAnsi="Arial" w:cs="Arial"/>
        </w:rPr>
        <w:t xml:space="preserve">de </w:t>
      </w:r>
      <w:r w:rsidRPr="008923A1">
        <w:rPr>
          <w:rFonts w:ascii="Arial" w:eastAsia="Cambria" w:hAnsi="Arial" w:cs="Arial"/>
        </w:rPr>
        <w:t xml:space="preserve"> 202</w:t>
      </w:r>
      <w:r w:rsidR="00B234E1">
        <w:rPr>
          <w:rFonts w:ascii="Arial" w:eastAsia="Cambria" w:hAnsi="Arial" w:cs="Arial"/>
        </w:rPr>
        <w:t>2</w:t>
      </w:r>
      <w:r w:rsidRPr="008923A1">
        <w:rPr>
          <w:rFonts w:ascii="Arial" w:eastAsia="Cambria" w:hAnsi="Arial" w:cs="Arial"/>
        </w:rPr>
        <w:t xml:space="preserve"> que se informa, se integran como sigue:</w:t>
      </w:r>
    </w:p>
    <w:p w14:paraId="44FCF242" w14:textId="77777777" w:rsidR="0002186D" w:rsidRPr="008923A1" w:rsidRDefault="0002186D" w:rsidP="00E66333">
      <w:pPr>
        <w:spacing w:line="360" w:lineRule="auto"/>
        <w:ind w:left="426"/>
        <w:jc w:val="both"/>
        <w:rPr>
          <w:rFonts w:ascii="Arial" w:eastAsia="Cambria" w:hAnsi="Arial" w:cs="Arial"/>
        </w:rPr>
      </w:pPr>
    </w:p>
    <w:p w14:paraId="65B68C6A" w14:textId="1A4F2B8D" w:rsidR="00432DE7" w:rsidRPr="00E66333" w:rsidRDefault="00BD1B81" w:rsidP="00432DE7">
      <w:pPr>
        <w:ind w:left="426"/>
        <w:jc w:val="center"/>
        <w:rPr>
          <w:rFonts w:ascii="Cambria" w:eastAsia="Cambria" w:hAnsi="Cambria" w:cs="Cambria"/>
          <w:sz w:val="24"/>
          <w:szCs w:val="24"/>
        </w:rPr>
      </w:pPr>
      <w:r w:rsidRPr="00BD1B81">
        <w:rPr>
          <w:noProof/>
          <w:lang w:eastAsia="es-MX"/>
        </w:rPr>
        <w:lastRenderedPageBreak/>
        <w:drawing>
          <wp:inline distT="0" distB="0" distL="0" distR="0" wp14:anchorId="0DFC9FE7" wp14:editId="2E55529D">
            <wp:extent cx="5486400" cy="985520"/>
            <wp:effectExtent l="0" t="0" r="0" b="508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86400" cy="985520"/>
                    </a:xfrm>
                    <a:prstGeom prst="rect">
                      <a:avLst/>
                    </a:prstGeom>
                    <a:noFill/>
                    <a:ln>
                      <a:noFill/>
                    </a:ln>
                  </pic:spPr>
                </pic:pic>
              </a:graphicData>
            </a:graphic>
          </wp:inline>
        </w:drawing>
      </w:r>
    </w:p>
    <w:p w14:paraId="2E3E4FC4" w14:textId="77777777" w:rsidR="00BD1B81" w:rsidRDefault="00BD1B81" w:rsidP="00282A7A">
      <w:pPr>
        <w:pStyle w:val="Sinespaciado"/>
        <w:tabs>
          <w:tab w:val="left" w:pos="709"/>
        </w:tabs>
        <w:ind w:left="426"/>
        <w:rPr>
          <w:rFonts w:ascii="Arial" w:hAnsi="Arial" w:cs="Arial"/>
          <w:b/>
          <w:sz w:val="28"/>
          <w:szCs w:val="28"/>
        </w:rPr>
      </w:pPr>
    </w:p>
    <w:p w14:paraId="7CDE01E4" w14:textId="77777777" w:rsidR="00BD1B81" w:rsidRDefault="00BD1B81" w:rsidP="00282A7A">
      <w:pPr>
        <w:pStyle w:val="Sinespaciado"/>
        <w:tabs>
          <w:tab w:val="left" w:pos="709"/>
        </w:tabs>
        <w:ind w:left="426"/>
        <w:rPr>
          <w:rFonts w:ascii="Arial" w:hAnsi="Arial" w:cs="Arial"/>
          <w:b/>
          <w:sz w:val="28"/>
          <w:szCs w:val="28"/>
        </w:rPr>
      </w:pPr>
    </w:p>
    <w:p w14:paraId="2A7EF996" w14:textId="77777777" w:rsidR="00BD1B81" w:rsidRDefault="00BD1B81" w:rsidP="00282A7A">
      <w:pPr>
        <w:pStyle w:val="Sinespaciado"/>
        <w:tabs>
          <w:tab w:val="left" w:pos="709"/>
        </w:tabs>
        <w:ind w:left="426"/>
        <w:rPr>
          <w:rFonts w:ascii="Arial" w:hAnsi="Arial" w:cs="Arial"/>
          <w:b/>
          <w:sz w:val="28"/>
          <w:szCs w:val="28"/>
        </w:rPr>
      </w:pPr>
    </w:p>
    <w:p w14:paraId="176F193E" w14:textId="77777777" w:rsidR="00BD1B81" w:rsidRDefault="00BD1B81" w:rsidP="00282A7A">
      <w:pPr>
        <w:pStyle w:val="Sinespaciado"/>
        <w:tabs>
          <w:tab w:val="left" w:pos="709"/>
        </w:tabs>
        <w:ind w:left="426"/>
        <w:rPr>
          <w:rFonts w:ascii="Arial" w:hAnsi="Arial" w:cs="Arial"/>
          <w:b/>
          <w:sz w:val="28"/>
          <w:szCs w:val="28"/>
        </w:rPr>
      </w:pPr>
    </w:p>
    <w:p w14:paraId="27359EF1" w14:textId="6439C608" w:rsidR="00CF6A99" w:rsidRDefault="00CF6A99" w:rsidP="00282A7A">
      <w:pPr>
        <w:pStyle w:val="Sinespaciado"/>
        <w:tabs>
          <w:tab w:val="left" w:pos="709"/>
        </w:tabs>
        <w:ind w:left="426"/>
        <w:rPr>
          <w:rFonts w:ascii="Arial" w:hAnsi="Arial" w:cs="Arial"/>
          <w:b/>
          <w:sz w:val="28"/>
          <w:szCs w:val="28"/>
        </w:rPr>
      </w:pPr>
      <w:r w:rsidRPr="00A47281">
        <w:rPr>
          <w:rFonts w:ascii="Arial" w:hAnsi="Arial" w:cs="Arial"/>
          <w:b/>
          <w:sz w:val="28"/>
          <w:szCs w:val="28"/>
        </w:rPr>
        <w:t>IV)</w:t>
      </w:r>
      <w:r w:rsidRPr="00A47281">
        <w:rPr>
          <w:rFonts w:ascii="Arial" w:hAnsi="Arial" w:cs="Arial"/>
          <w:b/>
          <w:sz w:val="28"/>
          <w:szCs w:val="28"/>
        </w:rPr>
        <w:tab/>
        <w:t xml:space="preserve">Notas al Estado de Flujos de Efectivo </w:t>
      </w:r>
    </w:p>
    <w:p w14:paraId="4F1F549F" w14:textId="77777777" w:rsidR="00BA1A50" w:rsidRDefault="00BA1A50" w:rsidP="00A47281">
      <w:pPr>
        <w:pStyle w:val="Sinespaciado"/>
        <w:rPr>
          <w:rFonts w:ascii="Arial" w:hAnsi="Arial" w:cs="Arial"/>
          <w:b/>
          <w:sz w:val="28"/>
          <w:szCs w:val="28"/>
        </w:rPr>
      </w:pPr>
    </w:p>
    <w:p w14:paraId="7FFE4621" w14:textId="77777777" w:rsidR="00BA1A50" w:rsidRPr="00BA1A50" w:rsidRDefault="00BA1A50" w:rsidP="00BA1A50">
      <w:pPr>
        <w:pStyle w:val="Prrafodelista"/>
        <w:numPr>
          <w:ilvl w:val="0"/>
          <w:numId w:val="16"/>
        </w:numPr>
        <w:rPr>
          <w:rFonts w:ascii="Cambria" w:eastAsia="Cambria" w:hAnsi="Cambria" w:cs="Cambria"/>
          <w:b/>
          <w:sz w:val="24"/>
          <w:szCs w:val="24"/>
        </w:rPr>
      </w:pPr>
      <w:r w:rsidRPr="00BA1A50">
        <w:rPr>
          <w:rFonts w:ascii="Cambria" w:eastAsia="Cambria" w:hAnsi="Cambria" w:cs="Cambria"/>
          <w:b/>
          <w:sz w:val="24"/>
          <w:szCs w:val="24"/>
        </w:rPr>
        <w:t>Efectivo y equivalentes</w:t>
      </w:r>
    </w:p>
    <w:p w14:paraId="58D54F2E" w14:textId="77777777" w:rsidR="00BA1A50" w:rsidRPr="008923A1" w:rsidRDefault="00BA1A50" w:rsidP="008923A1">
      <w:pPr>
        <w:spacing w:line="360" w:lineRule="auto"/>
        <w:ind w:left="426"/>
        <w:rPr>
          <w:rFonts w:ascii="Arial" w:eastAsia="Cambria" w:hAnsi="Arial" w:cs="Arial"/>
        </w:rPr>
      </w:pPr>
      <w:r w:rsidRPr="008923A1">
        <w:rPr>
          <w:rFonts w:ascii="Arial" w:eastAsia="Cambria" w:hAnsi="Arial" w:cs="Arial"/>
        </w:rPr>
        <w:t>El análisis de los saldos inicial y final que figuran en la última parte de Estado de Flujo de Efectivo en la cuenta de efectivo y equivalentes es como sigue:</w:t>
      </w:r>
    </w:p>
    <w:p w14:paraId="4C89C957" w14:textId="759F1A4D" w:rsidR="00BD1B81" w:rsidRDefault="00EC7938" w:rsidP="00E66333">
      <w:pPr>
        <w:ind w:left="426"/>
        <w:jc w:val="center"/>
        <w:rPr>
          <w:noProof/>
          <w:lang w:eastAsia="es-MX"/>
        </w:rPr>
      </w:pPr>
      <w:r w:rsidRPr="00EC7938">
        <w:rPr>
          <w:noProof/>
          <w:lang w:eastAsia="es-MX"/>
        </w:rPr>
        <w:drawing>
          <wp:inline distT="0" distB="0" distL="0" distR="0" wp14:anchorId="73C0FEDF" wp14:editId="4DFE9770">
            <wp:extent cx="5486400" cy="1365885"/>
            <wp:effectExtent l="0" t="0" r="0" b="571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86400" cy="1365885"/>
                    </a:xfrm>
                    <a:prstGeom prst="rect">
                      <a:avLst/>
                    </a:prstGeom>
                    <a:noFill/>
                    <a:ln>
                      <a:noFill/>
                    </a:ln>
                  </pic:spPr>
                </pic:pic>
              </a:graphicData>
            </a:graphic>
          </wp:inline>
        </w:drawing>
      </w:r>
    </w:p>
    <w:p w14:paraId="0E805B2B" w14:textId="77777777" w:rsidR="00E66333" w:rsidRDefault="00E66333" w:rsidP="00E66333">
      <w:pPr>
        <w:ind w:left="426"/>
        <w:jc w:val="center"/>
        <w:rPr>
          <w:rFonts w:eastAsia="Cambria"/>
        </w:rPr>
      </w:pPr>
    </w:p>
    <w:p w14:paraId="18DFD9F9" w14:textId="77777777" w:rsidR="00CF6A99" w:rsidRDefault="00CF6A99" w:rsidP="00282A7A">
      <w:pPr>
        <w:pStyle w:val="Sinespaciado"/>
        <w:tabs>
          <w:tab w:val="left" w:pos="567"/>
        </w:tabs>
        <w:ind w:left="426"/>
        <w:rPr>
          <w:rFonts w:ascii="Arial" w:hAnsi="Arial" w:cs="Arial"/>
          <w:b/>
          <w:sz w:val="28"/>
          <w:szCs w:val="28"/>
        </w:rPr>
      </w:pPr>
      <w:r w:rsidRPr="003D31FD">
        <w:rPr>
          <w:rFonts w:ascii="Arial" w:hAnsi="Arial" w:cs="Arial"/>
          <w:b/>
          <w:sz w:val="28"/>
          <w:szCs w:val="28"/>
        </w:rPr>
        <w:t xml:space="preserve">V) </w:t>
      </w:r>
      <w:r w:rsidR="003D31FD">
        <w:rPr>
          <w:rFonts w:ascii="Arial" w:hAnsi="Arial" w:cs="Arial"/>
          <w:b/>
          <w:sz w:val="28"/>
          <w:szCs w:val="28"/>
        </w:rPr>
        <w:t xml:space="preserve">    </w:t>
      </w:r>
      <w:r w:rsidRPr="003D31FD">
        <w:rPr>
          <w:rFonts w:ascii="Arial" w:hAnsi="Arial" w:cs="Arial"/>
          <w:b/>
          <w:sz w:val="28"/>
          <w:szCs w:val="28"/>
        </w:rPr>
        <w:t>Conciliación entre los ingresos presupuestarios y contables, así como entre los egresos presupuestarios y los gastos contables</w:t>
      </w:r>
    </w:p>
    <w:p w14:paraId="5EB9DB07" w14:textId="77777777" w:rsidR="003D31FD" w:rsidRPr="003D31FD" w:rsidRDefault="003D31FD" w:rsidP="003D31FD">
      <w:pPr>
        <w:pStyle w:val="Sinespaciado"/>
        <w:tabs>
          <w:tab w:val="left" w:pos="567"/>
        </w:tabs>
        <w:rPr>
          <w:rFonts w:ascii="Arial" w:hAnsi="Arial" w:cs="Arial"/>
          <w:b/>
          <w:sz w:val="28"/>
          <w:szCs w:val="28"/>
        </w:rPr>
      </w:pPr>
    </w:p>
    <w:p w14:paraId="734E2126" w14:textId="7C1A3959" w:rsidR="00F3638B" w:rsidRPr="00724CA5" w:rsidRDefault="00EC7938" w:rsidP="00F3638B">
      <w:pPr>
        <w:pStyle w:val="Sinespaciado"/>
        <w:jc w:val="center"/>
        <w:rPr>
          <w:rFonts w:ascii="Arial" w:hAnsi="Arial" w:cs="Arial"/>
          <w:b/>
          <w:sz w:val="24"/>
          <w:szCs w:val="24"/>
        </w:rPr>
      </w:pPr>
      <w:r w:rsidRPr="00EC7938">
        <w:rPr>
          <w:noProof/>
          <w:lang w:eastAsia="es-MX"/>
        </w:rPr>
        <w:lastRenderedPageBreak/>
        <w:drawing>
          <wp:inline distT="0" distB="0" distL="0" distR="0" wp14:anchorId="1516F9B4" wp14:editId="6D95800E">
            <wp:extent cx="6056416" cy="3728661"/>
            <wp:effectExtent l="0" t="0" r="1905" b="5715"/>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77416" cy="3741590"/>
                    </a:xfrm>
                    <a:prstGeom prst="rect">
                      <a:avLst/>
                    </a:prstGeom>
                    <a:noFill/>
                    <a:ln>
                      <a:noFill/>
                    </a:ln>
                  </pic:spPr>
                </pic:pic>
              </a:graphicData>
            </a:graphic>
          </wp:inline>
        </w:drawing>
      </w:r>
    </w:p>
    <w:p w14:paraId="175A9FA6" w14:textId="33FA6767" w:rsidR="00724CA5" w:rsidRDefault="00724CA5" w:rsidP="00A47281">
      <w:pPr>
        <w:pStyle w:val="Sinespaciado"/>
        <w:rPr>
          <w:rFonts w:ascii="Arial" w:hAnsi="Arial" w:cs="Arial"/>
          <w:b/>
          <w:sz w:val="28"/>
          <w:szCs w:val="28"/>
        </w:rPr>
      </w:pPr>
    </w:p>
    <w:p w14:paraId="0AAB6C10" w14:textId="57D3AD85" w:rsidR="00724CA5" w:rsidRDefault="0002186D" w:rsidP="008923A1">
      <w:pPr>
        <w:pStyle w:val="Sinespaciado"/>
        <w:jc w:val="center"/>
        <w:rPr>
          <w:rFonts w:ascii="Arial" w:hAnsi="Arial" w:cs="Arial"/>
          <w:b/>
          <w:sz w:val="28"/>
          <w:szCs w:val="28"/>
        </w:rPr>
      </w:pPr>
      <w:r w:rsidRPr="0002186D">
        <w:rPr>
          <w:noProof/>
          <w:lang w:eastAsia="es-MX"/>
        </w:rPr>
        <w:lastRenderedPageBreak/>
        <w:drawing>
          <wp:inline distT="0" distB="0" distL="0" distR="0" wp14:anchorId="0FB36898" wp14:editId="36656A22">
            <wp:extent cx="6400800" cy="67722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00800" cy="6772275"/>
                    </a:xfrm>
                    <a:prstGeom prst="rect">
                      <a:avLst/>
                    </a:prstGeom>
                    <a:noFill/>
                    <a:ln>
                      <a:noFill/>
                    </a:ln>
                  </pic:spPr>
                </pic:pic>
              </a:graphicData>
            </a:graphic>
          </wp:inline>
        </w:drawing>
      </w:r>
    </w:p>
    <w:p w14:paraId="6D5D6399" w14:textId="77777777" w:rsidR="00724CA5" w:rsidRDefault="00724CA5" w:rsidP="00A47281">
      <w:pPr>
        <w:pStyle w:val="Sinespaciado"/>
        <w:rPr>
          <w:rFonts w:ascii="Arial" w:hAnsi="Arial" w:cs="Arial"/>
          <w:b/>
          <w:sz w:val="28"/>
          <w:szCs w:val="28"/>
        </w:rPr>
      </w:pPr>
    </w:p>
    <w:p w14:paraId="32C2D0DB" w14:textId="77777777" w:rsidR="003868D4" w:rsidRDefault="003868D4" w:rsidP="00A47281">
      <w:pPr>
        <w:pStyle w:val="Sinespaciado"/>
        <w:rPr>
          <w:rFonts w:ascii="Arial" w:hAnsi="Arial" w:cs="Arial"/>
          <w:b/>
          <w:sz w:val="28"/>
          <w:szCs w:val="28"/>
        </w:rPr>
      </w:pPr>
    </w:p>
    <w:p w14:paraId="76D3272A" w14:textId="77777777" w:rsidR="005204E8" w:rsidRDefault="005204E8" w:rsidP="00724CA5">
      <w:pPr>
        <w:pStyle w:val="Texto"/>
        <w:spacing w:line="224" w:lineRule="exact"/>
        <w:ind w:firstLine="0"/>
        <w:rPr>
          <w:b/>
          <w:szCs w:val="18"/>
        </w:rPr>
      </w:pPr>
    </w:p>
    <w:p w14:paraId="1D926CA6" w14:textId="77777777" w:rsidR="006B20ED" w:rsidRDefault="006B20ED" w:rsidP="00724CA5">
      <w:pPr>
        <w:pStyle w:val="Texto"/>
        <w:spacing w:line="224" w:lineRule="exact"/>
        <w:ind w:firstLine="0"/>
        <w:rPr>
          <w:b/>
          <w:szCs w:val="18"/>
        </w:rPr>
      </w:pPr>
    </w:p>
    <w:p w14:paraId="155ECF7C" w14:textId="77777777" w:rsidR="009E3D9F" w:rsidRDefault="00DA2A3C" w:rsidP="00724CA5">
      <w:pPr>
        <w:pStyle w:val="Texto"/>
        <w:spacing w:line="224" w:lineRule="exact"/>
        <w:ind w:firstLine="0"/>
        <w:rPr>
          <w:b/>
          <w:szCs w:val="18"/>
        </w:rPr>
      </w:pPr>
      <w:r>
        <w:rPr>
          <w:b/>
          <w:noProof/>
          <w:sz w:val="24"/>
          <w:szCs w:val="24"/>
          <w:lang w:val="es-MX" w:eastAsia="es-MX"/>
        </w:rPr>
        <mc:AlternateContent>
          <mc:Choice Requires="wps">
            <w:drawing>
              <wp:anchor distT="0" distB="0" distL="114300" distR="114300" simplePos="0" relativeHeight="251656704" behindDoc="0" locked="0" layoutInCell="1" allowOverlap="1" wp14:anchorId="45A24EF1" wp14:editId="7EBB41FF">
                <wp:simplePos x="0" y="0"/>
                <wp:positionH relativeFrom="column">
                  <wp:posOffset>418034</wp:posOffset>
                </wp:positionH>
                <wp:positionV relativeFrom="paragraph">
                  <wp:posOffset>-96161</wp:posOffset>
                </wp:positionV>
                <wp:extent cx="5200650" cy="390525"/>
                <wp:effectExtent l="0" t="0" r="19050" b="28575"/>
                <wp:wrapThrough wrapText="bothSides">
                  <wp:wrapPolygon edited="0">
                    <wp:start x="0" y="0"/>
                    <wp:lineTo x="0" y="22127"/>
                    <wp:lineTo x="21600" y="22127"/>
                    <wp:lineTo x="21600" y="0"/>
                    <wp:lineTo x="0" y="0"/>
                  </wp:wrapPolygon>
                </wp:wrapThrough>
                <wp:docPr id="5" name="5 Rectángulo redondeado"/>
                <wp:cNvGraphicFramePr/>
                <a:graphic xmlns:a="http://schemas.openxmlformats.org/drawingml/2006/main">
                  <a:graphicData uri="http://schemas.microsoft.com/office/word/2010/wordprocessingShape">
                    <wps:wsp>
                      <wps:cNvSpPr/>
                      <wps:spPr>
                        <a:xfrm>
                          <a:off x="0" y="0"/>
                          <a:ext cx="5200650" cy="390525"/>
                        </a:xfrm>
                        <a:prstGeom prst="roundRect">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1D63FA" w14:textId="77777777" w:rsidR="00A1098C" w:rsidRPr="009E3D9F" w:rsidRDefault="00A1098C" w:rsidP="00EF0051">
                            <w:pPr>
                              <w:pStyle w:val="Sinespaciado"/>
                              <w:jc w:val="center"/>
                              <w:rPr>
                                <w:rFonts w:ascii="Arial" w:hAnsi="Arial" w:cs="Arial"/>
                                <w:b/>
                                <w:color w:val="000000" w:themeColor="text1"/>
                                <w:sz w:val="32"/>
                                <w:szCs w:val="32"/>
                              </w:rPr>
                            </w:pPr>
                            <w:r w:rsidRPr="009E3D9F">
                              <w:rPr>
                                <w:rFonts w:ascii="Arial" w:hAnsi="Arial" w:cs="Arial"/>
                                <w:b/>
                                <w:color w:val="000000" w:themeColor="text1"/>
                                <w:sz w:val="32"/>
                                <w:szCs w:val="32"/>
                              </w:rPr>
                              <w:t>b) NOTAS DE MEMORIA (CUENTAS DE ORDEN)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5A24EF1" id="5 Rectángulo redondeado" o:spid="_x0000_s1030" style="position:absolute;left:0;text-align:left;margin-left:32.9pt;margin-top:-7.55pt;width:409.5pt;height:30.7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" fillcolor="#cbd2dc [1302]" strokecolor="#224e76 [1604]" strokeweight="2pt">
                <v:textbox>
                  <w:txbxContent>
                    <w:p w14:paraId="1D1D63FA" w14:textId="77777777" w:rsidR="00A1098C" w:rsidRPr="009E3D9F" w:rsidRDefault="00A1098C" w:rsidP="00EF0051">
                      <w:pPr>
                        <w:pStyle w:val="Sinespaciado"/>
                        <w:jc w:val="center"/>
                        <w:rPr>
                          <w:rFonts w:ascii="Arial" w:hAnsi="Arial" w:cs="Arial"/>
                          <w:b/>
                          <w:color w:val="000000" w:themeColor="text1"/>
                          <w:sz w:val="32"/>
                          <w:szCs w:val="32"/>
                        </w:rPr>
                      </w:pPr>
                      <w:r w:rsidRPr="009E3D9F">
                        <w:rPr>
                          <w:rFonts w:ascii="Arial" w:hAnsi="Arial" w:cs="Arial"/>
                          <w:b/>
                          <w:color w:val="000000" w:themeColor="text1"/>
                          <w:sz w:val="32"/>
                          <w:szCs w:val="32"/>
                        </w:rPr>
                        <w:t>b) NOTAS DE MEMORIA (CUENTAS DE ORDEN)</w:t>
                      </w:r>
                    </w:p>
                  </w:txbxContent>
                </v:textbox>
                <w10:wrap type="through"/>
              </v:roundrect>
            </w:pict>
          </mc:Fallback>
        </mc:AlternateContent>
      </w:r>
    </w:p>
    <w:p w14:paraId="714A7DD8" w14:textId="77777777" w:rsidR="00724CA5" w:rsidRDefault="00724CA5" w:rsidP="00724CA5">
      <w:pPr>
        <w:pStyle w:val="Texto"/>
        <w:spacing w:line="224" w:lineRule="exact"/>
        <w:ind w:firstLine="0"/>
        <w:rPr>
          <w:b/>
          <w:szCs w:val="18"/>
        </w:rPr>
      </w:pPr>
    </w:p>
    <w:p w14:paraId="51CAB157" w14:textId="77777777" w:rsidR="00910EA0" w:rsidRPr="00910EA0" w:rsidRDefault="00724CA5" w:rsidP="00910EA0">
      <w:pPr>
        <w:keepNext/>
        <w:ind w:left="426"/>
        <w:rPr>
          <w:rFonts w:ascii="Cambria" w:eastAsia="Cambria" w:hAnsi="Cambria" w:cs="Cambria"/>
          <w:b/>
          <w:sz w:val="24"/>
          <w:szCs w:val="24"/>
        </w:rPr>
      </w:pPr>
      <w:r w:rsidRPr="00A002F3">
        <w:rPr>
          <w:rFonts w:ascii="Cambria" w:eastAsia="Cambria" w:hAnsi="Cambria" w:cs="Cambria"/>
          <w:b/>
          <w:sz w:val="24"/>
          <w:szCs w:val="24"/>
        </w:rPr>
        <w:t>Cuentas de Orden Contables</w:t>
      </w:r>
    </w:p>
    <w:p w14:paraId="680249C5" w14:textId="77777777" w:rsidR="00910EA0" w:rsidRPr="005204E8" w:rsidRDefault="00EF0051" w:rsidP="005204E8">
      <w:pPr>
        <w:keepNext/>
        <w:spacing w:line="360" w:lineRule="auto"/>
        <w:ind w:left="426"/>
        <w:jc w:val="both"/>
        <w:rPr>
          <w:rFonts w:ascii="Arial" w:eastAsia="Cambria" w:hAnsi="Arial" w:cs="Arial"/>
        </w:rPr>
      </w:pPr>
      <w:r>
        <w:rPr>
          <w:b/>
          <w:noProof/>
          <w:sz w:val="24"/>
          <w:szCs w:val="24"/>
          <w:lang w:eastAsia="es-MX"/>
        </w:rPr>
        <mc:AlternateContent>
          <mc:Choice Requires="wps">
            <w:drawing>
              <wp:anchor distT="0" distB="0" distL="114300" distR="114300" simplePos="0" relativeHeight="251658752" behindDoc="0" locked="0" layoutInCell="1" allowOverlap="1" wp14:anchorId="70DFDAA8" wp14:editId="56D44528">
                <wp:simplePos x="0" y="0"/>
                <wp:positionH relativeFrom="column">
                  <wp:posOffset>512721</wp:posOffset>
                </wp:positionH>
                <wp:positionV relativeFrom="paragraph">
                  <wp:posOffset>1290931</wp:posOffset>
                </wp:positionV>
                <wp:extent cx="5200650" cy="400050"/>
                <wp:effectExtent l="0" t="0" r="19050" b="19050"/>
                <wp:wrapThrough wrapText="bothSides">
                  <wp:wrapPolygon edited="0">
                    <wp:start x="0" y="0"/>
                    <wp:lineTo x="0" y="21600"/>
                    <wp:lineTo x="21600" y="21600"/>
                    <wp:lineTo x="21600" y="0"/>
                    <wp:lineTo x="0" y="0"/>
                  </wp:wrapPolygon>
                </wp:wrapThrough>
                <wp:docPr id="6" name="6 Rectángulo redondeado"/>
                <wp:cNvGraphicFramePr/>
                <a:graphic xmlns:a="http://schemas.openxmlformats.org/drawingml/2006/main">
                  <a:graphicData uri="http://schemas.microsoft.com/office/word/2010/wordprocessingShape">
                    <wps:wsp>
                      <wps:cNvSpPr/>
                      <wps:spPr>
                        <a:xfrm>
                          <a:off x="0" y="0"/>
                          <a:ext cx="5200650" cy="400050"/>
                        </a:xfrm>
                        <a:prstGeom prst="roundRect">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A824E3" w14:textId="77777777" w:rsidR="00A1098C" w:rsidRPr="009E3D9F" w:rsidRDefault="00A1098C" w:rsidP="00EF0051">
                            <w:pPr>
                              <w:pStyle w:val="Sinespaciado"/>
                              <w:jc w:val="center"/>
                              <w:rPr>
                                <w:rFonts w:ascii="Arial" w:hAnsi="Arial" w:cs="Arial"/>
                                <w:b/>
                                <w:color w:val="000000" w:themeColor="text1"/>
                                <w:sz w:val="32"/>
                                <w:szCs w:val="32"/>
                              </w:rPr>
                            </w:pPr>
                            <w:r w:rsidRPr="009E3D9F">
                              <w:rPr>
                                <w:rFonts w:ascii="Arial" w:hAnsi="Arial" w:cs="Arial"/>
                                <w:b/>
                                <w:color w:val="000000" w:themeColor="text1"/>
                                <w:sz w:val="32"/>
                                <w:szCs w:val="32"/>
                              </w:rPr>
                              <w:t>c) NOTAS DE GESTIÓN ADMINISTRATIVA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0DFDAA8" id="6 Rectángulo redondeado" o:spid="_x0000_s1031" style="position:absolute;left:0;text-align:left;margin-left:40.35pt;margin-top:101.65pt;width:409.5pt;height:31.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" fillcolor="#cbd2dc [1302]" strokecolor="#224e76 [1604]" strokeweight="2pt">
                <v:textbox>
                  <w:txbxContent>
                    <w:p w14:paraId="5DA824E3" w14:textId="77777777" w:rsidR="00A1098C" w:rsidRPr="009E3D9F" w:rsidRDefault="00A1098C" w:rsidP="00EF0051">
                      <w:pPr>
                        <w:pStyle w:val="Sinespaciado"/>
                        <w:jc w:val="center"/>
                        <w:rPr>
                          <w:rFonts w:ascii="Arial" w:hAnsi="Arial" w:cs="Arial"/>
                          <w:b/>
                          <w:color w:val="000000" w:themeColor="text1"/>
                          <w:sz w:val="32"/>
                          <w:szCs w:val="32"/>
                        </w:rPr>
                      </w:pPr>
                      <w:r w:rsidRPr="009E3D9F">
                        <w:rPr>
                          <w:rFonts w:ascii="Arial" w:hAnsi="Arial" w:cs="Arial"/>
                          <w:b/>
                          <w:color w:val="000000" w:themeColor="text1"/>
                          <w:sz w:val="32"/>
                          <w:szCs w:val="32"/>
                        </w:rPr>
                        <w:t>c) NOTAS DE GESTIÓN ADMINISTRATIVA</w:t>
                      </w:r>
                    </w:p>
                  </w:txbxContent>
                </v:textbox>
                <w10:wrap type="through"/>
              </v:roundrect>
            </w:pict>
          </mc:Fallback>
        </mc:AlternateContent>
      </w:r>
      <w:r w:rsidR="00724CA5" w:rsidRPr="008923A1">
        <w:rPr>
          <w:rFonts w:ascii="Arial" w:eastAsia="Cambria" w:hAnsi="Arial" w:cs="Arial"/>
        </w:rPr>
        <w:t>En el mes de Octubre del 2017 se realizó el registro de los bienes arqueológicos con los que cuenta el Municipio, de acuerdo a la información proporcionada por el Departamento de Patrimonio Arqueológico perteneciente a la Dirección de Desarrollo Urbano. Estos bienes fueron dados de alta con un valor simbólico de $1.00 debido a que por sus característi</w:t>
      </w:r>
      <w:r w:rsidR="00DA2A3C" w:rsidRPr="008923A1">
        <w:rPr>
          <w:rFonts w:ascii="Arial" w:eastAsia="Cambria" w:hAnsi="Arial" w:cs="Arial"/>
        </w:rPr>
        <w:t>cas históricas son invaluables.</w:t>
      </w:r>
    </w:p>
    <w:p w14:paraId="3AD4EB60" w14:textId="77777777" w:rsidR="00724CA5" w:rsidRDefault="00724CA5" w:rsidP="00724CA5">
      <w:pPr>
        <w:pStyle w:val="Texto"/>
        <w:spacing w:line="224" w:lineRule="exact"/>
        <w:ind w:firstLine="0"/>
        <w:rPr>
          <w:b/>
          <w:szCs w:val="18"/>
          <w:lang w:val="es-MX"/>
        </w:rPr>
      </w:pPr>
    </w:p>
    <w:p w14:paraId="15568F6E" w14:textId="77777777" w:rsidR="00724CA5" w:rsidRPr="00724CA5" w:rsidRDefault="00724CA5" w:rsidP="00724CA5">
      <w:pPr>
        <w:pStyle w:val="Texto"/>
        <w:spacing w:line="224" w:lineRule="exact"/>
        <w:ind w:firstLine="0"/>
        <w:rPr>
          <w:b/>
          <w:szCs w:val="18"/>
          <w:lang w:val="es-MX"/>
        </w:rPr>
      </w:pPr>
    </w:p>
    <w:p w14:paraId="34C9225D" w14:textId="77777777" w:rsidR="009E3D9F" w:rsidRDefault="009E3D9F" w:rsidP="00EF0051">
      <w:pPr>
        <w:pStyle w:val="Texto"/>
        <w:tabs>
          <w:tab w:val="left" w:pos="567"/>
          <w:tab w:val="left" w:pos="802"/>
        </w:tabs>
        <w:ind w:firstLine="0"/>
        <w:jc w:val="left"/>
        <w:rPr>
          <w:b/>
          <w:szCs w:val="18"/>
          <w:lang w:val="es-MX"/>
        </w:rPr>
      </w:pPr>
    </w:p>
    <w:p w14:paraId="2338147E" w14:textId="77777777" w:rsidR="00724CA5" w:rsidRPr="00A002F3" w:rsidRDefault="00724CA5" w:rsidP="00724CA5">
      <w:pPr>
        <w:numPr>
          <w:ilvl w:val="0"/>
          <w:numId w:val="17"/>
        </w:numPr>
        <w:spacing w:after="120" w:line="276" w:lineRule="auto"/>
        <w:ind w:left="426" w:firstLine="0"/>
        <w:jc w:val="both"/>
        <w:rPr>
          <w:rFonts w:ascii="Cambria" w:eastAsia="Cambria" w:hAnsi="Cambria" w:cs="Cambria"/>
          <w:b/>
          <w:sz w:val="24"/>
          <w:szCs w:val="24"/>
        </w:rPr>
      </w:pPr>
      <w:r w:rsidRPr="00A002F3">
        <w:rPr>
          <w:rFonts w:ascii="Cambria" w:eastAsia="Cambria" w:hAnsi="Cambria" w:cs="Cambria"/>
          <w:b/>
          <w:sz w:val="24"/>
          <w:szCs w:val="24"/>
        </w:rPr>
        <w:t xml:space="preserve">Introducción </w:t>
      </w:r>
    </w:p>
    <w:p w14:paraId="3976DCEC" w14:textId="77777777" w:rsidR="00DA2A3C" w:rsidRPr="008923A1" w:rsidRDefault="00724CA5" w:rsidP="008923A1">
      <w:pPr>
        <w:spacing w:line="360" w:lineRule="auto"/>
        <w:ind w:left="426"/>
        <w:jc w:val="both"/>
        <w:rPr>
          <w:rFonts w:ascii="Arial" w:eastAsia="Cambria" w:hAnsi="Arial" w:cs="Arial"/>
        </w:rPr>
      </w:pPr>
      <w:r w:rsidRPr="008923A1">
        <w:rPr>
          <w:rFonts w:ascii="Arial" w:eastAsia="Cambria" w:hAnsi="Arial" w:cs="Arial"/>
        </w:rPr>
        <w:t>Los Estados Financieros del Municipio del Ayuntamiento de Mérida Yucatán, proveen de información financiera a los principales usuarios de la misma, a</w:t>
      </w:r>
      <w:r w:rsidR="00DA2A3C" w:rsidRPr="008923A1">
        <w:rPr>
          <w:rFonts w:ascii="Arial" w:eastAsia="Cambria" w:hAnsi="Arial" w:cs="Arial"/>
        </w:rPr>
        <w:t xml:space="preserve">l Congreso y a los ciudadanos. </w:t>
      </w:r>
    </w:p>
    <w:p w14:paraId="20061796" w14:textId="77777777" w:rsidR="00724CA5" w:rsidRPr="008923A1" w:rsidRDefault="00724CA5" w:rsidP="008923A1">
      <w:pPr>
        <w:spacing w:line="360" w:lineRule="auto"/>
        <w:ind w:left="426"/>
        <w:jc w:val="both"/>
        <w:rPr>
          <w:rFonts w:ascii="Arial" w:eastAsia="Cambria" w:hAnsi="Arial" w:cs="Arial"/>
        </w:rPr>
      </w:pPr>
      <w:r w:rsidRPr="008923A1">
        <w:rPr>
          <w:rFonts w:ascii="Arial" w:eastAsia="Cambria" w:hAnsi="Arial" w:cs="Arial"/>
        </w:rPr>
        <w:t>El objetivo del presente documento es la revelación del contexto y de los aspectos económicos-financieros más relevantes que influyeron en las decisiones del periodo, y que deberán ser considerados en la elaboración de los estados financieros para la mayor comprensión de los mismos y sus particularidades.</w:t>
      </w:r>
    </w:p>
    <w:p w14:paraId="24C3A4C5" w14:textId="77777777" w:rsidR="00910EA0" w:rsidRPr="008923A1" w:rsidRDefault="00724CA5" w:rsidP="008923A1">
      <w:pPr>
        <w:spacing w:line="360" w:lineRule="auto"/>
        <w:ind w:left="426"/>
        <w:jc w:val="both"/>
        <w:rPr>
          <w:rFonts w:ascii="Arial" w:eastAsia="Cambria" w:hAnsi="Arial" w:cs="Arial"/>
        </w:rPr>
      </w:pPr>
      <w:r w:rsidRPr="008923A1">
        <w:rPr>
          <w:rFonts w:ascii="Arial" w:eastAsia="Cambria" w:hAnsi="Arial" w:cs="Arial"/>
        </w:rPr>
        <w:t>De esta manera, se informa y explica la respuesta del municipio a las condiciones relacionadas con la información financiera de cada periodo de gestión; además, de exponer aquellas políticas que podrían afectar la toma de deci</w:t>
      </w:r>
      <w:r w:rsidR="00DA2A3C" w:rsidRPr="008923A1">
        <w:rPr>
          <w:rFonts w:ascii="Arial" w:eastAsia="Cambria" w:hAnsi="Arial" w:cs="Arial"/>
        </w:rPr>
        <w:t>siones en periodos posteriores.</w:t>
      </w:r>
    </w:p>
    <w:p w14:paraId="0094D3CA" w14:textId="77777777" w:rsidR="00DA2A3C" w:rsidRDefault="00724CA5" w:rsidP="00DA2A3C">
      <w:pPr>
        <w:pStyle w:val="Prrafodelista"/>
        <w:numPr>
          <w:ilvl w:val="0"/>
          <w:numId w:val="17"/>
        </w:numPr>
        <w:spacing w:after="0" w:line="240" w:lineRule="auto"/>
        <w:ind w:left="426" w:firstLine="0"/>
        <w:contextualSpacing w:val="0"/>
        <w:jc w:val="both"/>
        <w:rPr>
          <w:rFonts w:ascii="Cambria" w:eastAsia="Cambria" w:hAnsi="Cambria" w:cs="Calibri"/>
          <w:b/>
          <w:sz w:val="24"/>
          <w:szCs w:val="24"/>
        </w:rPr>
      </w:pPr>
      <w:r w:rsidRPr="00910EA0">
        <w:rPr>
          <w:rFonts w:ascii="Cambria" w:eastAsia="Cambria" w:hAnsi="Cambria" w:cs="Calibri"/>
          <w:b/>
          <w:sz w:val="24"/>
          <w:szCs w:val="24"/>
        </w:rPr>
        <w:t>Panorama Económico y Financiero</w:t>
      </w:r>
    </w:p>
    <w:p w14:paraId="688DA507" w14:textId="77777777" w:rsidR="002B6D2A" w:rsidRDefault="002B6D2A" w:rsidP="002B6D2A">
      <w:pPr>
        <w:pStyle w:val="Prrafodelista"/>
        <w:spacing w:after="0" w:line="240" w:lineRule="auto"/>
        <w:ind w:left="426"/>
        <w:contextualSpacing w:val="0"/>
        <w:jc w:val="both"/>
        <w:rPr>
          <w:rFonts w:ascii="Cambria" w:eastAsia="Cambria" w:hAnsi="Cambria" w:cs="Calibri"/>
          <w:b/>
          <w:sz w:val="24"/>
          <w:szCs w:val="24"/>
        </w:rPr>
      </w:pPr>
    </w:p>
    <w:p w14:paraId="1D00E3AD" w14:textId="77777777" w:rsidR="00F64043" w:rsidRDefault="002B6D2A" w:rsidP="008923A1">
      <w:pPr>
        <w:pStyle w:val="Prrafodelista"/>
        <w:spacing w:after="0" w:line="360" w:lineRule="auto"/>
        <w:ind w:left="426"/>
        <w:contextualSpacing w:val="0"/>
        <w:jc w:val="both"/>
        <w:rPr>
          <w:rFonts w:ascii="Arial" w:eastAsia="Cambria" w:hAnsi="Arial" w:cs="Arial"/>
        </w:rPr>
      </w:pPr>
      <w:r w:rsidRPr="008923A1">
        <w:rPr>
          <w:rFonts w:ascii="Arial" w:eastAsia="Cambria" w:hAnsi="Arial" w:cs="Arial"/>
        </w:rPr>
        <w:t>El presupuesto de Egresos, el Programa Operativo Anual (POA) y el tabulador de remuneraciones para el ejercicio 202</w:t>
      </w:r>
      <w:r w:rsidR="00B234E1">
        <w:rPr>
          <w:rFonts w:ascii="Arial" w:eastAsia="Cambria" w:hAnsi="Arial" w:cs="Arial"/>
        </w:rPr>
        <w:t>2, fue aprobado el 15</w:t>
      </w:r>
      <w:r w:rsidRPr="008923A1">
        <w:rPr>
          <w:rFonts w:ascii="Arial" w:eastAsia="Cambria" w:hAnsi="Arial" w:cs="Arial"/>
        </w:rPr>
        <w:t xml:space="preserve"> de Diciembre de 202</w:t>
      </w:r>
      <w:r w:rsidR="00B234E1">
        <w:rPr>
          <w:rFonts w:ascii="Arial" w:eastAsia="Cambria" w:hAnsi="Arial" w:cs="Arial"/>
        </w:rPr>
        <w:t>1</w:t>
      </w:r>
      <w:r w:rsidRPr="008923A1">
        <w:rPr>
          <w:rFonts w:ascii="Arial" w:eastAsia="Cambria" w:hAnsi="Arial" w:cs="Arial"/>
        </w:rPr>
        <w:t xml:space="preserve"> por el Cabildo y publicado</w:t>
      </w:r>
      <w:r w:rsidR="00B234E1">
        <w:rPr>
          <w:rFonts w:ascii="Arial" w:eastAsia="Cambria" w:hAnsi="Arial" w:cs="Arial"/>
        </w:rPr>
        <w:t xml:space="preserve"> en la Gaceta Municipal No. 1784</w:t>
      </w:r>
      <w:r w:rsidRPr="008923A1">
        <w:rPr>
          <w:rFonts w:ascii="Arial" w:eastAsia="Cambria" w:hAnsi="Arial" w:cs="Arial"/>
        </w:rPr>
        <w:t xml:space="preserve"> el 30 de diciembre de 202</w:t>
      </w:r>
      <w:r w:rsidR="00E12EB7">
        <w:rPr>
          <w:rFonts w:ascii="Arial" w:eastAsia="Cambria" w:hAnsi="Arial" w:cs="Arial"/>
        </w:rPr>
        <w:t>1</w:t>
      </w:r>
      <w:r w:rsidRPr="008923A1">
        <w:rPr>
          <w:rFonts w:ascii="Arial" w:eastAsia="Cambria" w:hAnsi="Arial" w:cs="Arial"/>
        </w:rPr>
        <w:t xml:space="preserve">, con fundamento en el Artículo 144 de la Ley de Gobierno de los Municipios del Estado de Yucatán, Artículos 187 y 189 de la Ley del Presupuesto y Contabilidad Gubernamental del Estado </w:t>
      </w:r>
      <w:r w:rsidR="005D768E" w:rsidRPr="008923A1">
        <w:rPr>
          <w:rFonts w:ascii="Arial" w:eastAsia="Cambria" w:hAnsi="Arial" w:cs="Arial"/>
        </w:rPr>
        <w:t>de Yucatán.</w:t>
      </w:r>
    </w:p>
    <w:p w14:paraId="462B1287" w14:textId="77777777" w:rsidR="00DA2A3C" w:rsidRPr="008923A1" w:rsidRDefault="00DA2A3C" w:rsidP="008923A1">
      <w:pPr>
        <w:pStyle w:val="Prrafodelista"/>
        <w:spacing w:after="0" w:line="360" w:lineRule="auto"/>
        <w:ind w:left="426"/>
        <w:contextualSpacing w:val="0"/>
        <w:jc w:val="both"/>
        <w:rPr>
          <w:rFonts w:ascii="Arial" w:eastAsia="Cambria" w:hAnsi="Arial" w:cs="Arial"/>
          <w:b/>
        </w:rPr>
      </w:pPr>
    </w:p>
    <w:p w14:paraId="7D72A519" w14:textId="77777777" w:rsidR="00B8624A" w:rsidRDefault="00DA2A3C" w:rsidP="00B8624A">
      <w:pPr>
        <w:ind w:left="426"/>
        <w:jc w:val="both"/>
        <w:rPr>
          <w:rFonts w:ascii="Cambria" w:eastAsia="Cambria" w:hAnsi="Cambria" w:cs="Calibri"/>
          <w:b/>
          <w:sz w:val="24"/>
          <w:szCs w:val="24"/>
        </w:rPr>
      </w:pPr>
      <w:r w:rsidRPr="006223B9">
        <w:rPr>
          <w:rFonts w:ascii="Cambria" w:eastAsia="Cambria" w:hAnsi="Cambria" w:cs="Calibri"/>
          <w:b/>
          <w:sz w:val="24"/>
          <w:szCs w:val="24"/>
        </w:rPr>
        <w:lastRenderedPageBreak/>
        <w:t>Presupuesto de Egresos Anual Aprobado:</w:t>
      </w:r>
    </w:p>
    <w:p w14:paraId="3234AB0A" w14:textId="77777777" w:rsidR="00B8624A" w:rsidRPr="00B8624A" w:rsidRDefault="00B8624A" w:rsidP="00B8624A">
      <w:pPr>
        <w:autoSpaceDE w:val="0"/>
        <w:autoSpaceDN w:val="0"/>
        <w:adjustRightInd w:val="0"/>
        <w:spacing w:after="0" w:line="360" w:lineRule="auto"/>
        <w:ind w:left="426"/>
        <w:jc w:val="both"/>
        <w:rPr>
          <w:rFonts w:ascii="Arial" w:eastAsia="Cambria" w:hAnsi="Arial" w:cs="Arial"/>
        </w:rPr>
      </w:pPr>
      <w:r>
        <w:rPr>
          <w:rFonts w:ascii="Arial" w:eastAsia="Cambria" w:hAnsi="Arial" w:cs="Arial"/>
        </w:rPr>
        <w:t>E</w:t>
      </w:r>
      <w:r w:rsidRPr="00B8624A">
        <w:rPr>
          <w:rFonts w:ascii="Arial" w:eastAsia="Cambria" w:hAnsi="Arial" w:cs="Arial"/>
        </w:rPr>
        <w:t>l Presupuesto de Egresos del Ayuntamiento</w:t>
      </w:r>
      <w:r>
        <w:rPr>
          <w:rFonts w:ascii="Arial" w:eastAsia="Cambria" w:hAnsi="Arial" w:cs="Arial"/>
        </w:rPr>
        <w:t xml:space="preserve"> </w:t>
      </w:r>
      <w:r w:rsidRPr="00B8624A">
        <w:rPr>
          <w:rFonts w:ascii="Arial" w:eastAsia="Cambria" w:hAnsi="Arial" w:cs="Arial"/>
        </w:rPr>
        <w:t>Constitucional del Municipio de Mérida, que regirá del uno de enero a</w:t>
      </w:r>
      <w:r>
        <w:rPr>
          <w:rFonts w:ascii="Arial" w:eastAsia="Cambria" w:hAnsi="Arial" w:cs="Arial"/>
        </w:rPr>
        <w:t xml:space="preserve">l treinta y uno de diciembre de </w:t>
      </w:r>
      <w:r w:rsidRPr="00B8624A">
        <w:rPr>
          <w:rFonts w:ascii="Arial" w:eastAsia="Cambria" w:hAnsi="Arial" w:cs="Arial"/>
        </w:rPr>
        <w:t>dos mil veintidós, que importa la cantidad de $4,297,811,917.00 (Son: Cuatro</w:t>
      </w:r>
      <w:r>
        <w:rPr>
          <w:rFonts w:ascii="Arial" w:eastAsia="Cambria" w:hAnsi="Arial" w:cs="Arial"/>
        </w:rPr>
        <w:t xml:space="preserve"> mil doscientos noventa </w:t>
      </w:r>
      <w:r w:rsidRPr="00B8624A">
        <w:rPr>
          <w:rFonts w:ascii="Arial" w:eastAsia="Cambria" w:hAnsi="Arial" w:cs="Arial"/>
        </w:rPr>
        <w:t xml:space="preserve">y siete millones ochocientos once mil novecientos diecisiete </w:t>
      </w:r>
      <w:r>
        <w:rPr>
          <w:rFonts w:ascii="Arial" w:eastAsia="Cambria" w:hAnsi="Arial" w:cs="Arial"/>
        </w:rPr>
        <w:t xml:space="preserve">pesos 00/100 moneda nacional) y </w:t>
      </w:r>
      <w:r w:rsidRPr="00B8624A">
        <w:rPr>
          <w:rFonts w:ascii="Arial" w:eastAsia="Cambria" w:hAnsi="Arial" w:cs="Arial"/>
        </w:rPr>
        <w:t>autoriza las erogaciones previstas como capítulos presupue</w:t>
      </w:r>
      <w:r>
        <w:rPr>
          <w:rFonts w:ascii="Arial" w:eastAsia="Cambria" w:hAnsi="Arial" w:cs="Arial"/>
        </w:rPr>
        <w:t xml:space="preserve">stales programadas por el mismo </w:t>
      </w:r>
      <w:r w:rsidRPr="00B8624A">
        <w:rPr>
          <w:rFonts w:ascii="Arial" w:eastAsia="Cambria" w:hAnsi="Arial" w:cs="Arial"/>
        </w:rPr>
        <w:t>período, de conformidad a la distribución siguiente:</w:t>
      </w:r>
    </w:p>
    <w:p w14:paraId="29927B52" w14:textId="77777777" w:rsidR="005D768E" w:rsidRDefault="008923A1" w:rsidP="00B8624A">
      <w:pPr>
        <w:ind w:left="426"/>
        <w:jc w:val="center"/>
        <w:rPr>
          <w:rFonts w:ascii="Cambria" w:eastAsia="Cambria" w:hAnsi="Cambria" w:cs="Calibri"/>
          <w:b/>
        </w:rPr>
      </w:pPr>
      <w:r w:rsidRPr="008923A1">
        <w:rPr>
          <w:noProof/>
          <w:lang w:eastAsia="es-MX"/>
        </w:rPr>
        <w:drawing>
          <wp:inline distT="0" distB="0" distL="0" distR="0" wp14:anchorId="286DFF8D" wp14:editId="1EF18CE8">
            <wp:extent cx="5919944" cy="2360428"/>
            <wp:effectExtent l="0" t="0" r="5080" b="190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932824" cy="2365564"/>
                    </a:xfrm>
                    <a:prstGeom prst="rect">
                      <a:avLst/>
                    </a:prstGeom>
                  </pic:spPr>
                </pic:pic>
              </a:graphicData>
            </a:graphic>
          </wp:inline>
        </w:drawing>
      </w:r>
    </w:p>
    <w:p w14:paraId="7391C6B6" w14:textId="77777777" w:rsidR="00DA2A3C" w:rsidRPr="0004539B" w:rsidRDefault="00DA2A3C" w:rsidP="00DA2A3C">
      <w:pPr>
        <w:pStyle w:val="Prrafodelista"/>
        <w:numPr>
          <w:ilvl w:val="0"/>
          <w:numId w:val="17"/>
        </w:numPr>
        <w:spacing w:after="0" w:line="240" w:lineRule="auto"/>
        <w:ind w:left="426" w:firstLine="0"/>
        <w:contextualSpacing w:val="0"/>
        <w:jc w:val="both"/>
        <w:rPr>
          <w:rFonts w:ascii="Cambria" w:eastAsia="Cambria" w:hAnsi="Cambria" w:cs="Calibri"/>
          <w:b/>
          <w:sz w:val="24"/>
          <w:szCs w:val="24"/>
        </w:rPr>
      </w:pPr>
      <w:r w:rsidRPr="0004539B">
        <w:rPr>
          <w:rFonts w:ascii="Cambria" w:eastAsia="Cambria" w:hAnsi="Cambria" w:cs="Calibri"/>
          <w:b/>
          <w:sz w:val="24"/>
          <w:szCs w:val="24"/>
        </w:rPr>
        <w:t xml:space="preserve">Autorización e Historia </w:t>
      </w:r>
    </w:p>
    <w:p w14:paraId="3A8130B9" w14:textId="77777777" w:rsidR="00DA2A3C" w:rsidRPr="00A002F3" w:rsidRDefault="00DA2A3C" w:rsidP="00DA2A3C">
      <w:pPr>
        <w:pStyle w:val="Prrafodelista"/>
        <w:spacing w:after="0" w:line="240" w:lineRule="auto"/>
        <w:ind w:left="426"/>
        <w:contextualSpacing w:val="0"/>
        <w:jc w:val="both"/>
        <w:rPr>
          <w:rFonts w:ascii="Cambria" w:eastAsia="Cambria" w:hAnsi="Cambria" w:cs="Calibri"/>
          <w:b/>
        </w:rPr>
      </w:pPr>
    </w:p>
    <w:p w14:paraId="093705BF" w14:textId="77777777" w:rsidR="00724CA5" w:rsidRPr="00B8624A" w:rsidRDefault="00724CA5" w:rsidP="00B8624A">
      <w:pPr>
        <w:spacing w:line="360" w:lineRule="auto"/>
        <w:ind w:left="426"/>
        <w:jc w:val="both"/>
        <w:rPr>
          <w:rFonts w:ascii="Arial" w:eastAsia="Cambria" w:hAnsi="Arial" w:cs="Arial"/>
        </w:rPr>
      </w:pPr>
      <w:r w:rsidRPr="00B8624A">
        <w:rPr>
          <w:rFonts w:ascii="Arial" w:eastAsia="Cambria" w:hAnsi="Arial" w:cs="Arial"/>
        </w:rPr>
        <w:t>El Municipio es el orden de gobierno que constituye la base de la división territorial y de la organización política y administrativa del Estado Mexicano. Como orden de gobierno local, ejerce las funciones que le son propias, presta los servicios públicos de su competencia y organiza a los distintos núcleos poblacionales que por razones históricas o por ministerio de ley, fueron conformándose en su jurisdicción territorial para la gestión de sus intereses.</w:t>
      </w:r>
    </w:p>
    <w:p w14:paraId="1EE43061" w14:textId="77777777" w:rsidR="00B8624A" w:rsidRPr="00B8624A" w:rsidRDefault="00724CA5" w:rsidP="00B8624A">
      <w:pPr>
        <w:spacing w:line="360" w:lineRule="auto"/>
        <w:ind w:left="426"/>
        <w:jc w:val="both"/>
        <w:rPr>
          <w:rFonts w:ascii="Arial" w:eastAsia="Cambria" w:hAnsi="Arial" w:cs="Arial"/>
        </w:rPr>
      </w:pPr>
      <w:r w:rsidRPr="00B8624A">
        <w:rPr>
          <w:rFonts w:ascii="Arial" w:eastAsia="Cambria" w:hAnsi="Arial" w:cs="Arial"/>
        </w:rPr>
        <w:t>El Ente como Municipio del Estado de Yucatán goza de autonomía plena para gobernar y administrar los asuntos propios, en los términos de la Constitución Política de los Estados Unidos Mexicanos y la particular del Estado.</w:t>
      </w:r>
    </w:p>
    <w:p w14:paraId="3320B15C" w14:textId="77777777" w:rsidR="00724CA5" w:rsidRPr="00A002F3" w:rsidRDefault="00724CA5" w:rsidP="00724CA5">
      <w:pPr>
        <w:ind w:left="426"/>
        <w:jc w:val="both"/>
        <w:rPr>
          <w:rFonts w:ascii="Cambria" w:hAnsi="Cambria"/>
        </w:rPr>
      </w:pPr>
      <w:r w:rsidRPr="00A002F3">
        <w:rPr>
          <w:rFonts w:ascii="Cambria" w:eastAsia="Cambria" w:hAnsi="Cambria" w:cs="Cambria"/>
          <w:b/>
          <w:sz w:val="24"/>
          <w:szCs w:val="24"/>
        </w:rPr>
        <w:t>Marco regulatorio</w:t>
      </w:r>
    </w:p>
    <w:p w14:paraId="0840F223" w14:textId="77777777" w:rsidR="00B8624A" w:rsidRPr="00B8624A" w:rsidRDefault="00724CA5" w:rsidP="005204E8">
      <w:pPr>
        <w:spacing w:line="360" w:lineRule="auto"/>
        <w:ind w:left="426"/>
        <w:jc w:val="both"/>
        <w:rPr>
          <w:rFonts w:ascii="Arial" w:eastAsia="Cambria" w:hAnsi="Arial" w:cs="Arial"/>
        </w:rPr>
      </w:pPr>
      <w:r w:rsidRPr="00B8624A">
        <w:rPr>
          <w:rFonts w:ascii="Arial" w:eastAsia="Cambria" w:hAnsi="Arial" w:cs="Arial"/>
        </w:rPr>
        <w:t>Los principales ordenamientos que le aplican al Ente se presentan a continuación agrupados de manera funcional para su interpretación como sigue:</w:t>
      </w:r>
    </w:p>
    <w:p w14:paraId="3E95E8C7" w14:textId="77777777" w:rsidR="00B8624A" w:rsidRPr="00B8624A" w:rsidRDefault="00724CA5" w:rsidP="005204E8">
      <w:pPr>
        <w:spacing w:line="360" w:lineRule="auto"/>
        <w:ind w:left="426"/>
        <w:jc w:val="both"/>
        <w:rPr>
          <w:rFonts w:ascii="Arial" w:eastAsia="Cambria" w:hAnsi="Arial" w:cs="Arial"/>
        </w:rPr>
      </w:pPr>
      <w:r w:rsidRPr="00B8624A">
        <w:rPr>
          <w:rFonts w:ascii="Arial" w:eastAsia="Cambria" w:hAnsi="Arial" w:cs="Arial"/>
          <w:b/>
          <w:u w:val="single"/>
        </w:rPr>
        <w:lastRenderedPageBreak/>
        <w:t>Existencia:</w:t>
      </w:r>
      <w:r w:rsidRPr="00B8624A">
        <w:rPr>
          <w:rFonts w:ascii="Arial" w:eastAsia="Cambria" w:hAnsi="Arial" w:cs="Arial"/>
        </w:rPr>
        <w:t xml:space="preserve"> Constitución Política de los Estados Unidos Mexicanos y Constitución Política del Estado de Yucatán.</w:t>
      </w:r>
    </w:p>
    <w:p w14:paraId="180FFFC0" w14:textId="77777777" w:rsidR="00B8624A" w:rsidRPr="00B8624A" w:rsidRDefault="00724CA5" w:rsidP="005204E8">
      <w:pPr>
        <w:spacing w:line="360" w:lineRule="auto"/>
        <w:ind w:left="426"/>
        <w:jc w:val="both"/>
        <w:rPr>
          <w:rFonts w:ascii="Arial" w:eastAsia="Cambria" w:hAnsi="Arial" w:cs="Arial"/>
        </w:rPr>
      </w:pPr>
      <w:r w:rsidRPr="00B8624A">
        <w:rPr>
          <w:rFonts w:ascii="Arial" w:eastAsia="Cambria" w:hAnsi="Arial" w:cs="Arial"/>
          <w:b/>
          <w:u w:val="single"/>
        </w:rPr>
        <w:t>Finanzas:</w:t>
      </w:r>
      <w:r w:rsidRPr="00B8624A">
        <w:rPr>
          <w:rFonts w:ascii="Arial" w:eastAsia="Cambria" w:hAnsi="Arial" w:cs="Arial"/>
        </w:rPr>
        <w:t xml:space="preserve"> Ley General de Hacienda del Estado de Yucatán, Ley de Hacienda para los Municipios del Estado de Yucatán, Ley de Ingresos y Presupuesto de Egresos del Estado de Yucatán, Ley de Deuda Pública del Estado de Yucatán, Ley de Coordinación Fiscal del Estado de Yucatán, Código Fiscal del Estado de Yucatán, Reglamento de Presupuesto y Ejercicio del Gasto Público del Municipio de Mérida, Ley de Ingresos y Ley de Hacienda del Municipio de Mérida Yucatán.</w:t>
      </w:r>
    </w:p>
    <w:p w14:paraId="38D319FB" w14:textId="77777777" w:rsidR="00B8624A" w:rsidRPr="005204E8" w:rsidRDefault="00724CA5" w:rsidP="005204E8">
      <w:pPr>
        <w:spacing w:line="360" w:lineRule="auto"/>
        <w:ind w:left="426"/>
        <w:jc w:val="both"/>
        <w:rPr>
          <w:rFonts w:ascii="Arial" w:eastAsia="Cambria" w:hAnsi="Arial" w:cs="Arial"/>
        </w:rPr>
      </w:pPr>
      <w:r w:rsidRPr="00B8624A">
        <w:rPr>
          <w:rFonts w:ascii="Arial" w:eastAsia="Cambria" w:hAnsi="Arial" w:cs="Arial"/>
          <w:b/>
          <w:u w:val="single"/>
        </w:rPr>
        <w:t>Administración:</w:t>
      </w:r>
      <w:r w:rsidRPr="00B8624A">
        <w:rPr>
          <w:rFonts w:ascii="Arial" w:eastAsia="Cambria" w:hAnsi="Arial" w:cs="Arial"/>
        </w:rPr>
        <w:t xml:space="preserve"> Ley de Gobierno de los Municipios del Estado de Yucatán, Reglamento de Adquisiciones, Arrendamientos de Bienes y Servicios del Ayuntamiento de Mérida.</w:t>
      </w:r>
    </w:p>
    <w:p w14:paraId="159872A0" w14:textId="77777777" w:rsidR="00B8624A" w:rsidRPr="00B8624A" w:rsidRDefault="00724CA5" w:rsidP="005204E8">
      <w:pPr>
        <w:spacing w:line="360" w:lineRule="auto"/>
        <w:ind w:left="426"/>
        <w:jc w:val="both"/>
        <w:rPr>
          <w:rFonts w:ascii="Arial" w:eastAsia="Cambria" w:hAnsi="Arial" w:cs="Arial"/>
        </w:rPr>
      </w:pPr>
      <w:r w:rsidRPr="00B8624A">
        <w:rPr>
          <w:rFonts w:ascii="Arial" w:eastAsia="Cambria" w:hAnsi="Arial" w:cs="Arial"/>
        </w:rPr>
        <w:t xml:space="preserve"> </w:t>
      </w:r>
      <w:r w:rsidRPr="00B8624A">
        <w:rPr>
          <w:rFonts w:ascii="Arial" w:eastAsia="Cambria" w:hAnsi="Arial" w:cs="Arial"/>
          <w:b/>
          <w:u w:val="single"/>
        </w:rPr>
        <w:t>Contabilidad:</w:t>
      </w:r>
      <w:r w:rsidRPr="00B8624A">
        <w:rPr>
          <w:rFonts w:ascii="Arial" w:eastAsia="Cambria" w:hAnsi="Arial" w:cs="Arial"/>
        </w:rPr>
        <w:t xml:space="preserve"> Ley General de Contabilidad Gubernamental, Ley del Presupuesto y Contabilidad Gubernamental del Estado de Yucatán, Decreto que establece la organización y funcionamiento del consejo de armonización contable del Estado de Yucatán, Ley de Fiscalización de la cuenta públ</w:t>
      </w:r>
      <w:r w:rsidR="00D03DAB" w:rsidRPr="00B8624A">
        <w:rPr>
          <w:rFonts w:ascii="Arial" w:eastAsia="Cambria" w:hAnsi="Arial" w:cs="Arial"/>
        </w:rPr>
        <w:t xml:space="preserve">ica del Estado de Yucatán y su </w:t>
      </w:r>
      <w:r w:rsidR="00A51A35" w:rsidRPr="00B8624A">
        <w:rPr>
          <w:rFonts w:ascii="Arial" w:eastAsia="Cambria" w:hAnsi="Arial" w:cs="Arial"/>
        </w:rPr>
        <w:t>Reglamento, Ley</w:t>
      </w:r>
      <w:r w:rsidR="00D03DAB" w:rsidRPr="00B8624A">
        <w:rPr>
          <w:rFonts w:ascii="Arial" w:eastAsia="Cambria" w:hAnsi="Arial" w:cs="Arial"/>
        </w:rPr>
        <w:t xml:space="preserve"> de Impuesto al Valor Agregado</w:t>
      </w:r>
      <w:r w:rsidRPr="00B8624A">
        <w:rPr>
          <w:rFonts w:ascii="Arial" w:eastAsia="Cambria" w:hAnsi="Arial" w:cs="Arial"/>
        </w:rPr>
        <w:t xml:space="preserve"> </w:t>
      </w:r>
      <w:r w:rsidR="00CF40D3" w:rsidRPr="00B8624A">
        <w:rPr>
          <w:rFonts w:ascii="Arial" w:eastAsia="Cambria" w:hAnsi="Arial" w:cs="Arial"/>
        </w:rPr>
        <w:t>y La</w:t>
      </w:r>
      <w:r w:rsidRPr="00B8624A">
        <w:rPr>
          <w:rFonts w:ascii="Arial" w:eastAsia="Cambria" w:hAnsi="Arial" w:cs="Arial"/>
        </w:rPr>
        <w:t xml:space="preserve"> ley Impuesto Sobre la Renta.</w:t>
      </w:r>
    </w:p>
    <w:p w14:paraId="14721FB2" w14:textId="77777777" w:rsidR="00B8624A" w:rsidRPr="00B8624A" w:rsidRDefault="00724CA5" w:rsidP="005204E8">
      <w:pPr>
        <w:spacing w:line="360" w:lineRule="auto"/>
        <w:ind w:left="426"/>
        <w:jc w:val="both"/>
        <w:rPr>
          <w:rFonts w:ascii="Arial" w:hAnsi="Arial" w:cs="Arial"/>
        </w:rPr>
      </w:pPr>
      <w:r w:rsidRPr="00B8624A">
        <w:rPr>
          <w:rFonts w:ascii="Arial" w:eastAsia="Cambria" w:hAnsi="Arial" w:cs="Arial"/>
          <w:b/>
          <w:u w:val="single"/>
        </w:rPr>
        <w:t xml:space="preserve">Laboral: </w:t>
      </w:r>
      <w:r w:rsidRPr="00B8624A">
        <w:rPr>
          <w:rFonts w:ascii="Arial" w:eastAsia="Cambria" w:hAnsi="Arial" w:cs="Arial"/>
        </w:rPr>
        <w:t>Ley de Seguridad Social para los Servidores Públicos del Estado de Yucatán, de sus Municipios y de los Organismos Públicos Coordinados y Descentralizados de carácter social, Ley de los trabajadores al servicio del Estado y Municipios de Yucatán, y el fideicomiso</w:t>
      </w:r>
      <w:r w:rsidRPr="00B8624A">
        <w:rPr>
          <w:rFonts w:ascii="Arial" w:hAnsi="Arial" w:cs="Arial"/>
        </w:rPr>
        <w:t xml:space="preserve"> (SIRJUM) Sistema Individual para el Retiro y Jubilación Municipal.</w:t>
      </w:r>
    </w:p>
    <w:p w14:paraId="7936B2A6" w14:textId="77777777" w:rsidR="00A4680C" w:rsidRPr="00B8624A" w:rsidRDefault="00724CA5" w:rsidP="00EF0051">
      <w:pPr>
        <w:spacing w:line="360" w:lineRule="auto"/>
        <w:ind w:left="426"/>
        <w:jc w:val="both"/>
        <w:rPr>
          <w:rFonts w:ascii="Arial" w:eastAsia="Cambria" w:hAnsi="Arial" w:cs="Arial"/>
        </w:rPr>
      </w:pPr>
      <w:r w:rsidRPr="00B8624A">
        <w:rPr>
          <w:rFonts w:ascii="Arial" w:eastAsia="Cambria" w:hAnsi="Arial" w:cs="Arial"/>
          <w:b/>
          <w:u w:val="single"/>
        </w:rPr>
        <w:t>Rendición de cuentas:</w:t>
      </w:r>
      <w:r w:rsidRPr="00B8624A">
        <w:rPr>
          <w:rFonts w:ascii="Arial" w:eastAsia="Cambria" w:hAnsi="Arial" w:cs="Arial"/>
        </w:rPr>
        <w:t xml:space="preserve"> Ley General de Acceso a la Información Pública, Ley de Acceso a la Información Pública para el Estado y los Municipios de Yucatán, Reglamento de Acceso a la Información Públi</w:t>
      </w:r>
      <w:r w:rsidR="00DA2A3C" w:rsidRPr="00B8624A">
        <w:rPr>
          <w:rFonts w:ascii="Arial" w:eastAsia="Cambria" w:hAnsi="Arial" w:cs="Arial"/>
        </w:rPr>
        <w:t>ca para el Municipio de Mérida.</w:t>
      </w:r>
    </w:p>
    <w:p w14:paraId="427072FB" w14:textId="77777777" w:rsidR="00724CA5" w:rsidRPr="00B8624A" w:rsidRDefault="00724CA5" w:rsidP="00B8624A">
      <w:pPr>
        <w:numPr>
          <w:ilvl w:val="0"/>
          <w:numId w:val="17"/>
        </w:numPr>
        <w:spacing w:after="120" w:line="360" w:lineRule="auto"/>
        <w:ind w:left="426" w:firstLine="0"/>
        <w:jc w:val="both"/>
        <w:rPr>
          <w:rFonts w:ascii="Arial" w:eastAsia="Cambria" w:hAnsi="Arial" w:cs="Arial"/>
          <w:b/>
        </w:rPr>
      </w:pPr>
      <w:r w:rsidRPr="00B8624A">
        <w:rPr>
          <w:rFonts w:ascii="Arial" w:eastAsia="Cambria" w:hAnsi="Arial" w:cs="Arial"/>
          <w:b/>
        </w:rPr>
        <w:t xml:space="preserve">Organización y Objeto Social. </w:t>
      </w:r>
    </w:p>
    <w:p w14:paraId="6EF7D794" w14:textId="77777777" w:rsidR="00724CA5" w:rsidRPr="00B8624A" w:rsidRDefault="00724CA5" w:rsidP="00B8624A">
      <w:pPr>
        <w:spacing w:line="360" w:lineRule="auto"/>
        <w:ind w:left="426"/>
        <w:jc w:val="both"/>
        <w:rPr>
          <w:rFonts w:ascii="Arial" w:hAnsi="Arial" w:cs="Arial"/>
        </w:rPr>
      </w:pPr>
      <w:r w:rsidRPr="00B8624A">
        <w:rPr>
          <w:rFonts w:ascii="Arial" w:eastAsia="Cambria" w:hAnsi="Arial" w:cs="Arial"/>
          <w:b/>
        </w:rPr>
        <w:t>4.1 Funciones originarias.</w:t>
      </w:r>
    </w:p>
    <w:p w14:paraId="35164526" w14:textId="77777777" w:rsidR="00724CA5" w:rsidRPr="00B8624A" w:rsidRDefault="00724CA5" w:rsidP="00B8624A">
      <w:pPr>
        <w:spacing w:line="360" w:lineRule="auto"/>
        <w:ind w:left="426"/>
        <w:jc w:val="both"/>
        <w:rPr>
          <w:rFonts w:ascii="Arial" w:hAnsi="Arial" w:cs="Arial"/>
        </w:rPr>
      </w:pPr>
      <w:r w:rsidRPr="00B8624A">
        <w:rPr>
          <w:rFonts w:ascii="Arial" w:eastAsia="Cambria" w:hAnsi="Arial" w:cs="Arial"/>
        </w:rPr>
        <w:t xml:space="preserve">Las atribuciones y funciones que la Constitución Política de los Estados Unidos Mexicanos y la particular del Estado, le confieren al Ayuntamiento, las ejerce originariamente el Cabildo, como órgano colegiado de decisión, electo en forma directa mediante el voto popular, conforme a lo </w:t>
      </w:r>
      <w:r w:rsidRPr="00B8624A">
        <w:rPr>
          <w:rFonts w:ascii="Arial" w:eastAsia="Cambria" w:hAnsi="Arial" w:cs="Arial"/>
        </w:rPr>
        <w:lastRenderedPageBreak/>
        <w:t>dispuesto por la legislación electoral del Estado e integrado por 19 Regidores, dentro de ellos, uno electo Presidente Municipal y otro Síndico.</w:t>
      </w:r>
    </w:p>
    <w:p w14:paraId="32678A5D" w14:textId="77777777" w:rsidR="00724CA5" w:rsidRPr="00B8624A" w:rsidRDefault="00724CA5" w:rsidP="00B8624A">
      <w:pPr>
        <w:spacing w:line="360" w:lineRule="auto"/>
        <w:ind w:left="426"/>
        <w:jc w:val="both"/>
        <w:rPr>
          <w:rFonts w:ascii="Arial" w:hAnsi="Arial" w:cs="Arial"/>
        </w:rPr>
      </w:pPr>
      <w:r w:rsidRPr="00B8624A">
        <w:rPr>
          <w:rFonts w:ascii="Arial" w:eastAsia="Cambria" w:hAnsi="Arial" w:cs="Arial"/>
          <w:b/>
        </w:rPr>
        <w:t>4.2 Funciones y servicios públicos.</w:t>
      </w:r>
    </w:p>
    <w:p w14:paraId="4933D72B" w14:textId="77777777" w:rsidR="00724CA5" w:rsidRPr="00B8624A" w:rsidRDefault="00724CA5" w:rsidP="00B8624A">
      <w:pPr>
        <w:spacing w:line="360" w:lineRule="auto"/>
        <w:ind w:left="426"/>
        <w:jc w:val="both"/>
        <w:rPr>
          <w:rFonts w:ascii="Arial" w:eastAsia="Cambria" w:hAnsi="Arial" w:cs="Arial"/>
        </w:rPr>
      </w:pPr>
      <w:r w:rsidRPr="00B8624A">
        <w:rPr>
          <w:rFonts w:ascii="Arial" w:eastAsia="Cambria" w:hAnsi="Arial" w:cs="Arial"/>
        </w:rPr>
        <w:t xml:space="preserve">El </w:t>
      </w:r>
      <w:r w:rsidR="00AE0821">
        <w:rPr>
          <w:rFonts w:ascii="Arial" w:eastAsia="Cambria" w:hAnsi="Arial" w:cs="Arial"/>
        </w:rPr>
        <w:t>e</w:t>
      </w:r>
      <w:r w:rsidRPr="00B8624A">
        <w:rPr>
          <w:rFonts w:ascii="Arial" w:eastAsia="Cambria" w:hAnsi="Arial" w:cs="Arial"/>
        </w:rPr>
        <w:t>nte tiene a su cargo de manera exclusiva y en el ámbito de sus respectivas jurisdicciones, las siguientes funciones y servicios públicos:</w:t>
      </w:r>
    </w:p>
    <w:p w14:paraId="64D26E1A" w14:textId="77777777" w:rsidR="00724CA5" w:rsidRPr="00B8624A" w:rsidRDefault="00724CA5" w:rsidP="00B8624A">
      <w:pPr>
        <w:spacing w:line="360" w:lineRule="auto"/>
        <w:ind w:left="426"/>
        <w:jc w:val="both"/>
        <w:rPr>
          <w:rFonts w:ascii="Arial" w:hAnsi="Arial" w:cs="Arial"/>
        </w:rPr>
      </w:pPr>
      <w:r w:rsidRPr="00B8624A">
        <w:rPr>
          <w:rFonts w:ascii="Arial" w:eastAsia="Cambria" w:hAnsi="Arial" w:cs="Arial"/>
        </w:rPr>
        <w:t>I.- Agua Potable, drenaje, alcantarillado, tratamiento y disposición de aguas residuales;</w:t>
      </w:r>
    </w:p>
    <w:p w14:paraId="77D6C158" w14:textId="77777777" w:rsidR="00724CA5" w:rsidRPr="00B8624A" w:rsidRDefault="00724CA5" w:rsidP="00B8624A">
      <w:pPr>
        <w:spacing w:line="360" w:lineRule="auto"/>
        <w:ind w:left="426"/>
        <w:jc w:val="both"/>
        <w:rPr>
          <w:rFonts w:ascii="Arial" w:hAnsi="Arial" w:cs="Arial"/>
        </w:rPr>
      </w:pPr>
      <w:r w:rsidRPr="00B8624A">
        <w:rPr>
          <w:rFonts w:ascii="Arial" w:eastAsia="Cambria" w:hAnsi="Arial" w:cs="Arial"/>
        </w:rPr>
        <w:t>II.- Alumbrado público;</w:t>
      </w:r>
    </w:p>
    <w:p w14:paraId="04C44E60" w14:textId="77777777" w:rsidR="00724CA5" w:rsidRPr="00B8624A" w:rsidRDefault="00724CA5" w:rsidP="00B8624A">
      <w:pPr>
        <w:spacing w:line="360" w:lineRule="auto"/>
        <w:ind w:left="426"/>
        <w:jc w:val="both"/>
        <w:rPr>
          <w:rFonts w:ascii="Arial" w:eastAsia="Cambria" w:hAnsi="Arial" w:cs="Arial"/>
        </w:rPr>
      </w:pPr>
      <w:r w:rsidRPr="00B8624A">
        <w:rPr>
          <w:rFonts w:ascii="Arial" w:eastAsia="Cambria" w:hAnsi="Arial" w:cs="Arial"/>
        </w:rPr>
        <w:t>III.- Limpia, recolección, traslado, tratamiento y disposición final de residuos;</w:t>
      </w:r>
    </w:p>
    <w:p w14:paraId="79FF60A9" w14:textId="77777777" w:rsidR="00724CA5" w:rsidRPr="00B8624A" w:rsidRDefault="00724CA5" w:rsidP="00B8624A">
      <w:pPr>
        <w:spacing w:line="360" w:lineRule="auto"/>
        <w:ind w:left="426"/>
        <w:jc w:val="both"/>
        <w:rPr>
          <w:rFonts w:ascii="Arial" w:eastAsia="Cambria" w:hAnsi="Arial" w:cs="Arial"/>
        </w:rPr>
      </w:pPr>
      <w:r w:rsidRPr="00B8624A">
        <w:rPr>
          <w:rFonts w:ascii="Arial" w:eastAsia="Cambria" w:hAnsi="Arial" w:cs="Arial"/>
        </w:rPr>
        <w:t>IV.- Mercados y Centrales de Abasto;</w:t>
      </w:r>
    </w:p>
    <w:p w14:paraId="552C1E8B" w14:textId="77777777" w:rsidR="00724CA5" w:rsidRPr="00B8624A" w:rsidRDefault="00724CA5" w:rsidP="00B8624A">
      <w:pPr>
        <w:spacing w:line="360" w:lineRule="auto"/>
        <w:ind w:left="426"/>
        <w:jc w:val="both"/>
        <w:rPr>
          <w:rFonts w:ascii="Arial" w:hAnsi="Arial" w:cs="Arial"/>
        </w:rPr>
      </w:pPr>
      <w:r w:rsidRPr="00B8624A">
        <w:rPr>
          <w:rFonts w:ascii="Arial" w:eastAsia="Cambria" w:hAnsi="Arial" w:cs="Arial"/>
        </w:rPr>
        <w:t>V.- Panteones;</w:t>
      </w:r>
    </w:p>
    <w:p w14:paraId="189C8ABF" w14:textId="77777777" w:rsidR="00724CA5" w:rsidRPr="00B8624A" w:rsidRDefault="00724CA5" w:rsidP="00B8624A">
      <w:pPr>
        <w:spacing w:line="360" w:lineRule="auto"/>
        <w:ind w:left="426"/>
        <w:jc w:val="both"/>
        <w:rPr>
          <w:rFonts w:ascii="Arial" w:hAnsi="Arial" w:cs="Arial"/>
        </w:rPr>
      </w:pPr>
      <w:r w:rsidRPr="00B8624A">
        <w:rPr>
          <w:rFonts w:ascii="Arial" w:eastAsia="Cambria" w:hAnsi="Arial" w:cs="Arial"/>
        </w:rPr>
        <w:t>VI.- Rastro;</w:t>
      </w:r>
    </w:p>
    <w:p w14:paraId="48838978" w14:textId="77777777" w:rsidR="00724CA5" w:rsidRPr="00B8624A" w:rsidRDefault="00724CA5" w:rsidP="00B8624A">
      <w:pPr>
        <w:spacing w:line="360" w:lineRule="auto"/>
        <w:ind w:left="426"/>
        <w:jc w:val="both"/>
        <w:rPr>
          <w:rFonts w:ascii="Arial" w:hAnsi="Arial" w:cs="Arial"/>
        </w:rPr>
      </w:pPr>
      <w:r w:rsidRPr="00B8624A">
        <w:rPr>
          <w:rFonts w:ascii="Arial" w:eastAsia="Cambria" w:hAnsi="Arial" w:cs="Arial"/>
        </w:rPr>
        <w:t>VII.- Calles, parques y jardines y su equipamiento;</w:t>
      </w:r>
    </w:p>
    <w:p w14:paraId="793D9064" w14:textId="77777777" w:rsidR="00724CA5" w:rsidRPr="00B8624A" w:rsidRDefault="00724CA5" w:rsidP="00B8624A">
      <w:pPr>
        <w:spacing w:line="360" w:lineRule="auto"/>
        <w:ind w:left="426"/>
        <w:jc w:val="both"/>
        <w:rPr>
          <w:rFonts w:ascii="Arial" w:hAnsi="Arial" w:cs="Arial"/>
        </w:rPr>
      </w:pPr>
      <w:r w:rsidRPr="00B8624A">
        <w:rPr>
          <w:rFonts w:ascii="Arial" w:eastAsia="Cambria" w:hAnsi="Arial" w:cs="Arial"/>
        </w:rPr>
        <w:t>VIII.- Seguridad pública, policía preventiva municipal y tránsito, que estarán al mando del Presidente Municipal, en los términos del Reglamento correspondiente;</w:t>
      </w:r>
    </w:p>
    <w:p w14:paraId="49D93753" w14:textId="77777777" w:rsidR="00724CA5" w:rsidRPr="00B8624A" w:rsidRDefault="00724CA5" w:rsidP="00B8624A">
      <w:pPr>
        <w:spacing w:line="360" w:lineRule="auto"/>
        <w:ind w:left="426"/>
        <w:jc w:val="both"/>
        <w:rPr>
          <w:rFonts w:ascii="Arial" w:hAnsi="Arial" w:cs="Arial"/>
        </w:rPr>
      </w:pPr>
      <w:r w:rsidRPr="00B8624A">
        <w:rPr>
          <w:rFonts w:ascii="Arial" w:eastAsia="Cambria" w:hAnsi="Arial" w:cs="Arial"/>
        </w:rPr>
        <w:t>IX.- El Catastro, y</w:t>
      </w:r>
    </w:p>
    <w:p w14:paraId="2D2C53AE" w14:textId="77777777" w:rsidR="00B8624A" w:rsidRPr="00B8624A" w:rsidRDefault="00724CA5" w:rsidP="004342DA">
      <w:pPr>
        <w:spacing w:line="360" w:lineRule="auto"/>
        <w:ind w:left="426"/>
        <w:jc w:val="both"/>
        <w:rPr>
          <w:rFonts w:ascii="Arial" w:eastAsia="Cambria" w:hAnsi="Arial" w:cs="Arial"/>
        </w:rPr>
      </w:pPr>
      <w:r w:rsidRPr="00B8624A">
        <w:rPr>
          <w:rFonts w:ascii="Arial" w:eastAsia="Cambria" w:hAnsi="Arial" w:cs="Arial"/>
        </w:rPr>
        <w:t>X.- La autorización del uso del suelo y funcionamiento de establecimientos mercantiles.</w:t>
      </w:r>
    </w:p>
    <w:p w14:paraId="1DE941A2" w14:textId="77777777" w:rsidR="00623183" w:rsidRDefault="00623183" w:rsidP="00B8624A">
      <w:pPr>
        <w:spacing w:line="360" w:lineRule="auto"/>
        <w:ind w:left="426"/>
        <w:jc w:val="both"/>
        <w:rPr>
          <w:rFonts w:ascii="Arial" w:eastAsia="Cambria" w:hAnsi="Arial" w:cs="Arial"/>
          <w:b/>
        </w:rPr>
      </w:pPr>
    </w:p>
    <w:p w14:paraId="1892FC9A" w14:textId="01A7D028" w:rsidR="00724CA5" w:rsidRPr="00B8624A" w:rsidRDefault="00724CA5" w:rsidP="00B8624A">
      <w:pPr>
        <w:spacing w:line="360" w:lineRule="auto"/>
        <w:ind w:left="426"/>
        <w:jc w:val="both"/>
        <w:rPr>
          <w:rFonts w:ascii="Arial" w:hAnsi="Arial" w:cs="Arial"/>
        </w:rPr>
      </w:pPr>
      <w:r w:rsidRPr="00B8624A">
        <w:rPr>
          <w:rFonts w:ascii="Arial" w:eastAsia="Cambria" w:hAnsi="Arial" w:cs="Arial"/>
          <w:b/>
        </w:rPr>
        <w:t>4.3 Entrega-recepción.</w:t>
      </w:r>
    </w:p>
    <w:p w14:paraId="59F150DF" w14:textId="1887B90D" w:rsidR="003A2F7C" w:rsidRDefault="00724CA5" w:rsidP="003A2F7C">
      <w:pPr>
        <w:spacing w:line="360" w:lineRule="auto"/>
        <w:ind w:left="426"/>
        <w:jc w:val="both"/>
        <w:rPr>
          <w:rFonts w:ascii="Arial" w:eastAsia="Cambria" w:hAnsi="Arial" w:cs="Arial"/>
        </w:rPr>
      </w:pPr>
      <w:r w:rsidRPr="00B8624A">
        <w:rPr>
          <w:rFonts w:ascii="Arial" w:eastAsia="Cambria" w:hAnsi="Arial" w:cs="Arial"/>
        </w:rPr>
        <w:t>Consiste en la transferencia escalonada y ordenada de todas y cada una de las áreas de gobierno y de la administración municipal, de conformidad con el Reglamento de la materia y a falta de éste, lo que disponga el órgano técnico de fiscalización del Poder Legislativo.</w:t>
      </w:r>
    </w:p>
    <w:p w14:paraId="29D2D47E" w14:textId="77777777" w:rsidR="00623183" w:rsidRPr="003A2F7C" w:rsidRDefault="00623183" w:rsidP="003A2F7C">
      <w:pPr>
        <w:spacing w:line="360" w:lineRule="auto"/>
        <w:ind w:left="426"/>
        <w:jc w:val="both"/>
        <w:rPr>
          <w:rFonts w:ascii="Arial" w:eastAsia="Cambria" w:hAnsi="Arial" w:cs="Arial"/>
        </w:rPr>
      </w:pPr>
    </w:p>
    <w:p w14:paraId="19B86C4E" w14:textId="77777777" w:rsidR="00724CA5" w:rsidRPr="00B8624A" w:rsidRDefault="00724CA5" w:rsidP="00B8624A">
      <w:pPr>
        <w:spacing w:line="360" w:lineRule="auto"/>
        <w:ind w:left="426"/>
        <w:jc w:val="both"/>
        <w:rPr>
          <w:rFonts w:ascii="Arial" w:eastAsia="Cambria" w:hAnsi="Arial" w:cs="Arial"/>
        </w:rPr>
      </w:pPr>
      <w:r w:rsidRPr="00B8624A">
        <w:rPr>
          <w:rFonts w:ascii="Arial" w:eastAsia="Cambria" w:hAnsi="Arial" w:cs="Arial"/>
          <w:b/>
        </w:rPr>
        <w:lastRenderedPageBreak/>
        <w:t>4.4 Planeación del desarrollo.</w:t>
      </w:r>
    </w:p>
    <w:p w14:paraId="531FB863" w14:textId="77777777" w:rsidR="00724CA5" w:rsidRPr="00B8624A" w:rsidRDefault="00724CA5" w:rsidP="00B8624A">
      <w:pPr>
        <w:spacing w:line="360" w:lineRule="auto"/>
        <w:ind w:left="426"/>
        <w:jc w:val="both"/>
        <w:rPr>
          <w:rFonts w:ascii="Arial" w:eastAsia="Cambria" w:hAnsi="Arial" w:cs="Arial"/>
        </w:rPr>
      </w:pPr>
      <w:r w:rsidRPr="00B8624A">
        <w:rPr>
          <w:rFonts w:ascii="Arial" w:eastAsia="Cambria" w:hAnsi="Arial" w:cs="Arial"/>
        </w:rPr>
        <w:t>El Ayuntamiento cuenta con los siguientes instrumentos de planeación:</w:t>
      </w:r>
    </w:p>
    <w:p w14:paraId="02F195D2" w14:textId="77777777" w:rsidR="00724CA5" w:rsidRPr="00B8624A" w:rsidRDefault="00724CA5" w:rsidP="00B8624A">
      <w:pPr>
        <w:spacing w:line="360" w:lineRule="auto"/>
        <w:ind w:left="426"/>
        <w:jc w:val="both"/>
        <w:rPr>
          <w:rFonts w:ascii="Arial" w:hAnsi="Arial" w:cs="Arial"/>
        </w:rPr>
      </w:pPr>
      <w:r w:rsidRPr="00B8624A">
        <w:rPr>
          <w:rFonts w:ascii="Arial" w:eastAsia="Cambria" w:hAnsi="Arial" w:cs="Arial"/>
        </w:rPr>
        <w:t>I.- Plan Estratégico;</w:t>
      </w:r>
    </w:p>
    <w:p w14:paraId="090D4354" w14:textId="77777777" w:rsidR="00724CA5" w:rsidRPr="00B8624A" w:rsidRDefault="00724CA5" w:rsidP="00B8624A">
      <w:pPr>
        <w:spacing w:line="360" w:lineRule="auto"/>
        <w:ind w:left="426"/>
        <w:jc w:val="both"/>
        <w:rPr>
          <w:rFonts w:ascii="Arial" w:hAnsi="Arial" w:cs="Arial"/>
        </w:rPr>
      </w:pPr>
      <w:r w:rsidRPr="00B8624A">
        <w:rPr>
          <w:rFonts w:ascii="Arial" w:eastAsia="Cambria" w:hAnsi="Arial" w:cs="Arial"/>
        </w:rPr>
        <w:t>II.- Plan Municipal de Desarrollo, y</w:t>
      </w:r>
    </w:p>
    <w:p w14:paraId="5CDC9D2C" w14:textId="77777777" w:rsidR="00724CA5" w:rsidRPr="00B8624A" w:rsidRDefault="00724CA5" w:rsidP="00B8624A">
      <w:pPr>
        <w:spacing w:line="360" w:lineRule="auto"/>
        <w:ind w:left="426"/>
        <w:jc w:val="both"/>
        <w:rPr>
          <w:rFonts w:ascii="Arial" w:hAnsi="Arial" w:cs="Arial"/>
        </w:rPr>
      </w:pPr>
      <w:r w:rsidRPr="00B8624A">
        <w:rPr>
          <w:rFonts w:ascii="Arial" w:eastAsia="Cambria" w:hAnsi="Arial" w:cs="Arial"/>
        </w:rPr>
        <w:t>III.- Programas derivados de los Planes señalados en las fracciones anteriores.</w:t>
      </w:r>
    </w:p>
    <w:p w14:paraId="16867F8A" w14:textId="77777777" w:rsidR="00B8624A" w:rsidRPr="00B8624A" w:rsidRDefault="00724CA5" w:rsidP="005204E8">
      <w:pPr>
        <w:spacing w:line="360" w:lineRule="auto"/>
        <w:ind w:left="426"/>
        <w:jc w:val="both"/>
        <w:rPr>
          <w:rFonts w:ascii="Arial" w:eastAsia="Cambria" w:hAnsi="Arial" w:cs="Arial"/>
        </w:rPr>
      </w:pPr>
      <w:r w:rsidRPr="00B8624A">
        <w:rPr>
          <w:rFonts w:ascii="Arial" w:eastAsia="Cambria" w:hAnsi="Arial" w:cs="Arial"/>
        </w:rPr>
        <w:t>Las dependencias y entidades de la administración pública municipal tienen integrado sus Programas Operativos Anuales (POA´S) que son instrumentos anuales de la planeación municipal, serán concordantes con el Plan Municipal de Desarrollo y deberán ser presentados al Cabildo. Los ejercicios del presupuesto municipal están relacionados y alineados con el Plan Municipal de Desarrollo y sus respectivos programas (POA´S).</w:t>
      </w:r>
    </w:p>
    <w:p w14:paraId="40D77E2A" w14:textId="77777777" w:rsidR="00724CA5" w:rsidRPr="00B8624A" w:rsidRDefault="00724CA5" w:rsidP="00B8624A">
      <w:pPr>
        <w:spacing w:line="360" w:lineRule="auto"/>
        <w:ind w:left="426"/>
        <w:jc w:val="both"/>
        <w:rPr>
          <w:rFonts w:ascii="Arial" w:hAnsi="Arial" w:cs="Arial"/>
        </w:rPr>
      </w:pPr>
      <w:r w:rsidRPr="00B8624A">
        <w:rPr>
          <w:rFonts w:ascii="Arial" w:eastAsia="Cambria" w:hAnsi="Arial" w:cs="Arial"/>
          <w:b/>
        </w:rPr>
        <w:t>4.5 Administración paramunicipal.</w:t>
      </w:r>
    </w:p>
    <w:p w14:paraId="260FF178" w14:textId="77777777" w:rsidR="00724CA5" w:rsidRPr="00B8624A" w:rsidRDefault="00724CA5" w:rsidP="00B8624A">
      <w:pPr>
        <w:spacing w:line="360" w:lineRule="auto"/>
        <w:ind w:left="426"/>
        <w:jc w:val="both"/>
        <w:rPr>
          <w:rFonts w:ascii="Arial" w:hAnsi="Arial" w:cs="Arial"/>
        </w:rPr>
      </w:pPr>
      <w:r w:rsidRPr="00B8624A">
        <w:rPr>
          <w:rFonts w:ascii="Arial" w:eastAsia="Cambria" w:hAnsi="Arial" w:cs="Arial"/>
        </w:rPr>
        <w:t>Existe una Administración Paramunicipal que comprende:</w:t>
      </w:r>
    </w:p>
    <w:p w14:paraId="4CAF44C3" w14:textId="77777777" w:rsidR="00473FA3" w:rsidRPr="00B8624A" w:rsidRDefault="00724CA5" w:rsidP="00B8624A">
      <w:pPr>
        <w:spacing w:line="360" w:lineRule="auto"/>
        <w:ind w:left="426"/>
        <w:jc w:val="both"/>
        <w:rPr>
          <w:rFonts w:ascii="Arial" w:eastAsia="Cambria" w:hAnsi="Arial" w:cs="Arial"/>
        </w:rPr>
      </w:pPr>
      <w:r w:rsidRPr="00B8624A">
        <w:rPr>
          <w:rFonts w:ascii="Arial" w:eastAsia="Cambria" w:hAnsi="Arial" w:cs="Arial"/>
        </w:rPr>
        <w:t>Los Organismos Descentralizados creados por los Ayuntamientos con la aprobación del Cabildo; como son Abastos de Mérida, Central de Abastos, Comité Permanente del Carnaval,</w:t>
      </w:r>
      <w:r w:rsidR="004445C8">
        <w:rPr>
          <w:rFonts w:ascii="Arial" w:eastAsia="Cambria" w:hAnsi="Arial" w:cs="Arial"/>
        </w:rPr>
        <w:t xml:space="preserve"> Servi-limpia</w:t>
      </w:r>
      <w:r w:rsidR="004445C8">
        <w:t xml:space="preserve"> </w:t>
      </w:r>
      <w:r w:rsidRPr="00B8624A">
        <w:rPr>
          <w:rFonts w:ascii="Arial" w:eastAsia="Cambria" w:hAnsi="Arial" w:cs="Arial"/>
        </w:rPr>
        <w:t xml:space="preserve"> </w:t>
      </w:r>
      <w:r w:rsidR="00473FA3" w:rsidRPr="00B8624A">
        <w:rPr>
          <w:rFonts w:ascii="Arial" w:eastAsia="Cambria" w:hAnsi="Arial" w:cs="Arial"/>
        </w:rPr>
        <w:t>y el Organismo Público Municipal Descentralizado de Operación y Administración de la Zona Sujeta a Conservación Ecológica Reserva Cuxtal</w:t>
      </w:r>
      <w:r w:rsidR="003E4D3C">
        <w:rPr>
          <w:rFonts w:ascii="Arial" w:eastAsia="Cambria" w:hAnsi="Arial" w:cs="Arial"/>
        </w:rPr>
        <w:t>.</w:t>
      </w:r>
    </w:p>
    <w:p w14:paraId="7AEDC135" w14:textId="77777777" w:rsidR="005204E8" w:rsidRPr="00B8624A" w:rsidRDefault="00724CA5" w:rsidP="004342DA">
      <w:pPr>
        <w:spacing w:line="360" w:lineRule="auto"/>
        <w:ind w:left="426"/>
        <w:jc w:val="both"/>
        <w:rPr>
          <w:rFonts w:ascii="Arial" w:eastAsia="Cambria" w:hAnsi="Arial" w:cs="Arial"/>
        </w:rPr>
      </w:pPr>
      <w:r w:rsidRPr="00B8624A">
        <w:rPr>
          <w:rFonts w:ascii="Arial" w:eastAsia="Cambria" w:hAnsi="Arial" w:cs="Arial"/>
        </w:rPr>
        <w:t>Estas entidades paramunicipales gozarán de autonomía de gestión, personalidad jurídica y patrimonio propio.</w:t>
      </w:r>
    </w:p>
    <w:p w14:paraId="0E19FC54" w14:textId="77777777" w:rsidR="00724CA5" w:rsidRPr="00B8624A" w:rsidRDefault="00724CA5" w:rsidP="00B8624A">
      <w:pPr>
        <w:spacing w:line="360" w:lineRule="auto"/>
        <w:ind w:left="426"/>
        <w:jc w:val="both"/>
        <w:rPr>
          <w:rFonts w:ascii="Arial" w:hAnsi="Arial" w:cs="Arial"/>
        </w:rPr>
      </w:pPr>
      <w:r w:rsidRPr="00B8624A">
        <w:rPr>
          <w:rFonts w:ascii="Arial" w:eastAsia="Cambria" w:hAnsi="Arial" w:cs="Arial"/>
          <w:b/>
        </w:rPr>
        <w:t>4.6 Órgano de control y supervisión.</w:t>
      </w:r>
    </w:p>
    <w:p w14:paraId="15F1CF8D" w14:textId="0A665174" w:rsidR="003A2F7C" w:rsidRDefault="00724CA5" w:rsidP="003A2F7C">
      <w:pPr>
        <w:spacing w:line="360" w:lineRule="auto"/>
        <w:ind w:left="426"/>
        <w:jc w:val="both"/>
        <w:rPr>
          <w:rFonts w:ascii="Arial" w:eastAsia="Cambria" w:hAnsi="Arial" w:cs="Arial"/>
        </w:rPr>
      </w:pPr>
      <w:r w:rsidRPr="00B8624A">
        <w:rPr>
          <w:rFonts w:ascii="Arial" w:eastAsia="Cambria" w:hAnsi="Arial" w:cs="Arial"/>
        </w:rPr>
        <w:t>Existe un órgano de control interno para la supervisión, evaluación y control de la gestión y manejo de los recursos públicos; así como la recepción y resolución de quejas y denuncias en relación con el desempeño de los funcionarios públicos.</w:t>
      </w:r>
    </w:p>
    <w:p w14:paraId="124F7CDA" w14:textId="0E756308" w:rsidR="00623183" w:rsidRDefault="00623183" w:rsidP="003A2F7C">
      <w:pPr>
        <w:spacing w:line="360" w:lineRule="auto"/>
        <w:ind w:left="426"/>
        <w:jc w:val="both"/>
        <w:rPr>
          <w:rFonts w:ascii="Arial" w:eastAsia="Cambria" w:hAnsi="Arial" w:cs="Arial"/>
        </w:rPr>
      </w:pPr>
    </w:p>
    <w:p w14:paraId="4864E759" w14:textId="77777777" w:rsidR="00623183" w:rsidRPr="00B8624A" w:rsidRDefault="00623183" w:rsidP="003A2F7C">
      <w:pPr>
        <w:spacing w:line="360" w:lineRule="auto"/>
        <w:ind w:left="426"/>
        <w:jc w:val="both"/>
        <w:rPr>
          <w:rFonts w:ascii="Arial" w:eastAsia="Cambria" w:hAnsi="Arial" w:cs="Arial"/>
        </w:rPr>
      </w:pPr>
    </w:p>
    <w:p w14:paraId="78B40E10" w14:textId="77777777" w:rsidR="00724CA5" w:rsidRPr="00B8624A" w:rsidRDefault="00724CA5" w:rsidP="00B8624A">
      <w:pPr>
        <w:numPr>
          <w:ilvl w:val="0"/>
          <w:numId w:val="17"/>
        </w:numPr>
        <w:spacing w:after="120" w:line="360" w:lineRule="auto"/>
        <w:ind w:left="426" w:firstLine="0"/>
        <w:jc w:val="both"/>
        <w:rPr>
          <w:rFonts w:ascii="Arial" w:eastAsia="Cambria" w:hAnsi="Arial" w:cs="Arial"/>
          <w:b/>
        </w:rPr>
      </w:pPr>
      <w:r w:rsidRPr="00B8624A">
        <w:rPr>
          <w:rFonts w:ascii="Arial" w:eastAsia="Cambria" w:hAnsi="Arial" w:cs="Arial"/>
          <w:b/>
        </w:rPr>
        <w:lastRenderedPageBreak/>
        <w:t>Bases de Preparación de los Estados Financieros.</w:t>
      </w:r>
    </w:p>
    <w:p w14:paraId="2E8C84B5" w14:textId="77777777" w:rsidR="00724CA5" w:rsidRPr="00B8624A" w:rsidRDefault="00724CA5" w:rsidP="00B8624A">
      <w:pPr>
        <w:spacing w:line="360" w:lineRule="auto"/>
        <w:ind w:left="426"/>
        <w:jc w:val="both"/>
        <w:rPr>
          <w:rFonts w:ascii="Arial" w:eastAsia="Cambria" w:hAnsi="Arial" w:cs="Arial"/>
        </w:rPr>
      </w:pPr>
      <w:r w:rsidRPr="00B8624A">
        <w:rPr>
          <w:rFonts w:ascii="Arial" w:eastAsia="Cambria" w:hAnsi="Arial" w:cs="Arial"/>
        </w:rPr>
        <w:t>El Ayuntamiento del Municipio de Mérida, Yucatán utiliza las políticas contables siguientes aplicadas consistentemente:</w:t>
      </w:r>
    </w:p>
    <w:p w14:paraId="5FCBE832" w14:textId="77777777" w:rsidR="00724CA5" w:rsidRPr="00B8624A" w:rsidRDefault="00724CA5" w:rsidP="00B8624A">
      <w:pPr>
        <w:spacing w:line="360" w:lineRule="auto"/>
        <w:ind w:left="426"/>
        <w:jc w:val="both"/>
        <w:rPr>
          <w:rFonts w:ascii="Arial" w:eastAsia="Cambria" w:hAnsi="Arial" w:cs="Arial"/>
        </w:rPr>
      </w:pPr>
      <w:r w:rsidRPr="00B8624A">
        <w:rPr>
          <w:rFonts w:ascii="Arial" w:eastAsia="Cambria" w:hAnsi="Arial" w:cs="Arial"/>
        </w:rPr>
        <w:t xml:space="preserve">1.- </w:t>
      </w:r>
      <w:r w:rsidRPr="00B8624A">
        <w:rPr>
          <w:rFonts w:ascii="Arial" w:eastAsia="Cambria" w:hAnsi="Arial" w:cs="Arial"/>
          <w:b/>
          <w:u w:val="single"/>
        </w:rPr>
        <w:t>Bienes Muebles e Inmuebles</w:t>
      </w:r>
      <w:r w:rsidRPr="00B8624A">
        <w:rPr>
          <w:rFonts w:ascii="Arial" w:eastAsia="Cambria" w:hAnsi="Arial" w:cs="Arial"/>
        </w:rPr>
        <w:t xml:space="preserve">. - Se Registra contablemente al costo de su adquisición (excepto inmuebles cuyo valor no puede ser inferior al catastral). </w:t>
      </w:r>
    </w:p>
    <w:p w14:paraId="2C97BB34" w14:textId="77777777" w:rsidR="00724CA5" w:rsidRPr="00B8624A" w:rsidRDefault="00724CA5" w:rsidP="00B8624A">
      <w:pPr>
        <w:spacing w:line="360" w:lineRule="auto"/>
        <w:ind w:left="426"/>
        <w:jc w:val="both"/>
        <w:rPr>
          <w:rFonts w:ascii="Arial" w:eastAsia="Cambria" w:hAnsi="Arial" w:cs="Arial"/>
        </w:rPr>
      </w:pPr>
      <w:r w:rsidRPr="00B8624A">
        <w:rPr>
          <w:rFonts w:ascii="Arial" w:eastAsia="Cambria" w:hAnsi="Arial" w:cs="Arial"/>
        </w:rPr>
        <w:t xml:space="preserve">2.- </w:t>
      </w:r>
      <w:r w:rsidRPr="00B8624A">
        <w:rPr>
          <w:rFonts w:ascii="Arial" w:eastAsia="Cambria" w:hAnsi="Arial" w:cs="Arial"/>
          <w:b/>
          <w:u w:val="single"/>
        </w:rPr>
        <w:t>Depreciaciones inmuebles.</w:t>
      </w:r>
      <w:r w:rsidRPr="00B8624A">
        <w:rPr>
          <w:rFonts w:ascii="Arial" w:eastAsia="Cambria" w:hAnsi="Arial" w:cs="Arial"/>
        </w:rPr>
        <w:t xml:space="preserve"> - Tratándose de inmuebles están valuados a su costo de adquisición en su caso y este no es inferior al valor catastral; y no se da efecto a la depreciación. </w:t>
      </w:r>
    </w:p>
    <w:p w14:paraId="53F58917" w14:textId="77777777" w:rsidR="00B8624A" w:rsidRPr="00B8624A" w:rsidRDefault="00724CA5" w:rsidP="005204E8">
      <w:pPr>
        <w:spacing w:line="360" w:lineRule="auto"/>
        <w:ind w:left="426"/>
        <w:jc w:val="both"/>
        <w:rPr>
          <w:rFonts w:ascii="Arial" w:eastAsia="Cambria" w:hAnsi="Arial" w:cs="Arial"/>
        </w:rPr>
      </w:pPr>
      <w:r w:rsidRPr="00B8624A">
        <w:rPr>
          <w:rFonts w:ascii="Arial" w:eastAsia="Cambria" w:hAnsi="Arial" w:cs="Arial"/>
        </w:rPr>
        <w:t xml:space="preserve">3.- </w:t>
      </w:r>
      <w:r w:rsidRPr="00B8624A">
        <w:rPr>
          <w:rFonts w:ascii="Arial" w:eastAsia="Cambria" w:hAnsi="Arial" w:cs="Arial"/>
          <w:b/>
          <w:u w:val="single"/>
        </w:rPr>
        <w:t>Valuación Actuarial de Obligaciones por pensiones.</w:t>
      </w:r>
      <w:r w:rsidRPr="00B8624A">
        <w:rPr>
          <w:rFonts w:ascii="Arial" w:eastAsia="Cambria" w:hAnsi="Arial" w:cs="Arial"/>
        </w:rPr>
        <w:t xml:space="preserve"> – El estudio actuarial de las pensiones de </w:t>
      </w:r>
      <w:r w:rsidR="004F14A0" w:rsidRPr="00B8624A">
        <w:rPr>
          <w:rFonts w:ascii="Arial" w:eastAsia="Cambria" w:hAnsi="Arial" w:cs="Arial"/>
        </w:rPr>
        <w:t>los trabajadores</w:t>
      </w:r>
      <w:r w:rsidRPr="00B8624A">
        <w:rPr>
          <w:rFonts w:ascii="Arial" w:eastAsia="Cambria" w:hAnsi="Arial" w:cs="Arial"/>
        </w:rPr>
        <w:t xml:space="preserve"> se actualiza de acuerdo a</w:t>
      </w:r>
      <w:r w:rsidR="00A30522" w:rsidRPr="00B8624A">
        <w:rPr>
          <w:rFonts w:ascii="Arial" w:eastAsia="Cambria" w:hAnsi="Arial" w:cs="Arial"/>
        </w:rPr>
        <w:t>rtículo 18</w:t>
      </w:r>
      <w:r w:rsidRPr="00B8624A">
        <w:rPr>
          <w:rFonts w:ascii="Arial" w:eastAsia="Cambria" w:hAnsi="Arial" w:cs="Arial"/>
        </w:rPr>
        <w:t xml:space="preserve"> fracción </w:t>
      </w:r>
      <w:r w:rsidR="00A30522" w:rsidRPr="00B8624A">
        <w:rPr>
          <w:rFonts w:ascii="Arial" w:eastAsia="Cambria" w:hAnsi="Arial" w:cs="Arial"/>
        </w:rPr>
        <w:t>I</w:t>
      </w:r>
      <w:r w:rsidRPr="00B8624A">
        <w:rPr>
          <w:rFonts w:ascii="Arial" w:eastAsia="Cambria" w:hAnsi="Arial" w:cs="Arial"/>
        </w:rPr>
        <w:t>V de la Ley de Disciplina Financiera de las Entidades Federativas y los Municipios</w:t>
      </w:r>
    </w:p>
    <w:p w14:paraId="0D9910F9" w14:textId="77777777" w:rsidR="00724CA5" w:rsidRPr="00B8624A" w:rsidRDefault="00724CA5" w:rsidP="00B8624A">
      <w:pPr>
        <w:spacing w:line="360" w:lineRule="auto"/>
        <w:ind w:left="426"/>
        <w:jc w:val="both"/>
        <w:rPr>
          <w:rFonts w:ascii="Arial" w:hAnsi="Arial" w:cs="Arial"/>
        </w:rPr>
      </w:pPr>
      <w:r w:rsidRPr="00B8624A">
        <w:rPr>
          <w:rFonts w:ascii="Arial" w:eastAsia="Cambria" w:hAnsi="Arial" w:cs="Arial"/>
          <w:b/>
        </w:rPr>
        <w:t>6.- Políticas de registros contables significativas.</w:t>
      </w:r>
    </w:p>
    <w:p w14:paraId="442CDD39" w14:textId="77777777" w:rsidR="00724CA5" w:rsidRPr="00B8624A" w:rsidRDefault="00724CA5" w:rsidP="00B8624A">
      <w:pPr>
        <w:spacing w:line="360" w:lineRule="auto"/>
        <w:ind w:left="426"/>
        <w:rPr>
          <w:rFonts w:ascii="Arial" w:hAnsi="Arial" w:cs="Arial"/>
        </w:rPr>
      </w:pPr>
      <w:r w:rsidRPr="00B8624A">
        <w:rPr>
          <w:rFonts w:ascii="Arial" w:eastAsia="Cambria" w:hAnsi="Arial" w:cs="Arial"/>
          <w:b/>
        </w:rPr>
        <w:t>6.1 Reconocimiento de los efectos de la inflación.</w:t>
      </w:r>
    </w:p>
    <w:p w14:paraId="082FB977" w14:textId="77777777" w:rsidR="00724CA5" w:rsidRPr="00B8624A" w:rsidRDefault="00724CA5" w:rsidP="00B8624A">
      <w:pPr>
        <w:spacing w:line="360" w:lineRule="auto"/>
        <w:ind w:left="426"/>
        <w:jc w:val="both"/>
        <w:rPr>
          <w:rFonts w:ascii="Arial" w:eastAsia="Cambria" w:hAnsi="Arial" w:cs="Arial"/>
        </w:rPr>
      </w:pPr>
      <w:r w:rsidRPr="00B8624A">
        <w:rPr>
          <w:rFonts w:ascii="Arial" w:eastAsia="Cambria" w:hAnsi="Arial" w:cs="Arial"/>
        </w:rPr>
        <w:t>La información financiera que se presenta en los estados financieros que se acompañan y sus notas, no han sido ajustadas para reconocer los efectos de la inflación, al no estar en un entorno de alta inflación por lo que están expresadas en pesos mexicanos históricos.</w:t>
      </w:r>
    </w:p>
    <w:p w14:paraId="29EAB0F8" w14:textId="77777777" w:rsidR="00724CA5" w:rsidRPr="00B8624A" w:rsidRDefault="00724CA5" w:rsidP="00B8624A">
      <w:pPr>
        <w:spacing w:line="360" w:lineRule="auto"/>
        <w:ind w:left="426"/>
        <w:rPr>
          <w:rFonts w:ascii="Arial" w:hAnsi="Arial" w:cs="Arial"/>
        </w:rPr>
      </w:pPr>
      <w:r w:rsidRPr="00B8624A">
        <w:rPr>
          <w:rFonts w:ascii="Arial" w:eastAsia="Cambria" w:hAnsi="Arial" w:cs="Arial"/>
          <w:b/>
        </w:rPr>
        <w:t>6.2 Arrendamientos.</w:t>
      </w:r>
    </w:p>
    <w:p w14:paraId="2B93F06A" w14:textId="77777777" w:rsidR="00724CA5" w:rsidRPr="00B8624A" w:rsidRDefault="00724CA5" w:rsidP="00B8624A">
      <w:pPr>
        <w:spacing w:line="360" w:lineRule="auto"/>
        <w:ind w:left="426"/>
        <w:rPr>
          <w:rFonts w:ascii="Arial" w:hAnsi="Arial" w:cs="Arial"/>
        </w:rPr>
      </w:pPr>
      <w:r w:rsidRPr="00B8624A">
        <w:rPr>
          <w:rFonts w:ascii="Arial" w:eastAsia="Cambria" w:hAnsi="Arial" w:cs="Arial"/>
        </w:rPr>
        <w:t>(Operativos)</w:t>
      </w:r>
    </w:p>
    <w:p w14:paraId="657ACF93" w14:textId="77777777" w:rsidR="00724CA5" w:rsidRPr="00B8624A" w:rsidRDefault="00724CA5" w:rsidP="00B8624A">
      <w:pPr>
        <w:spacing w:line="360" w:lineRule="auto"/>
        <w:ind w:left="426"/>
        <w:jc w:val="both"/>
        <w:rPr>
          <w:rFonts w:ascii="Arial" w:eastAsia="Cambria" w:hAnsi="Arial" w:cs="Arial"/>
        </w:rPr>
      </w:pPr>
      <w:r w:rsidRPr="00B8624A">
        <w:rPr>
          <w:rFonts w:ascii="Arial" w:eastAsia="Cambria" w:hAnsi="Arial" w:cs="Arial"/>
        </w:rPr>
        <w:t xml:space="preserve">El Municipio clasifica como arrendamiento operativo aquellas operaciones en la cual únicamente recibe el uso o goce del bien arrendado, sin que exista una transferencia de los riesgos y beneficios del bien. Estas rentas se aplican a los resultados conforme se incurren. </w:t>
      </w:r>
    </w:p>
    <w:p w14:paraId="337A15AB" w14:textId="77777777" w:rsidR="00724CA5" w:rsidRPr="00B8624A" w:rsidRDefault="00724CA5" w:rsidP="00B8624A">
      <w:pPr>
        <w:spacing w:line="360" w:lineRule="auto"/>
        <w:ind w:left="426"/>
        <w:rPr>
          <w:rFonts w:ascii="Arial" w:hAnsi="Arial" w:cs="Arial"/>
        </w:rPr>
      </w:pPr>
      <w:r w:rsidRPr="00B8624A">
        <w:rPr>
          <w:rFonts w:ascii="Arial" w:eastAsia="Cambria" w:hAnsi="Arial" w:cs="Arial"/>
          <w:b/>
        </w:rPr>
        <w:t>6.3 Obligaciones Laborales.</w:t>
      </w:r>
    </w:p>
    <w:p w14:paraId="6D9DFDBC" w14:textId="3568F90A" w:rsidR="00B8624A" w:rsidRPr="00B8624A" w:rsidRDefault="00724CA5" w:rsidP="005204E8">
      <w:pPr>
        <w:spacing w:line="360" w:lineRule="auto"/>
        <w:ind w:left="426"/>
        <w:jc w:val="both"/>
        <w:rPr>
          <w:rFonts w:ascii="Arial" w:eastAsia="Cambria" w:hAnsi="Arial" w:cs="Arial"/>
        </w:rPr>
      </w:pPr>
      <w:r w:rsidRPr="00B8624A">
        <w:rPr>
          <w:rFonts w:ascii="Arial" w:eastAsia="Cambria" w:hAnsi="Arial" w:cs="Arial"/>
        </w:rPr>
        <w:t>El costo por concepto de cuota de Seguridad Social se reconoce en los resultados de los años en que se prestan los servicios, sobre la base determinada de conformidad con La Ley de Seguridad Social para los Servidores Públicos del Estado de Yucatán, de sus municipios y de los organismos públicos coordinados y centralizados de carácter estatal (</w:t>
      </w:r>
      <w:proofErr w:type="spellStart"/>
      <w:r w:rsidRPr="00B8624A">
        <w:rPr>
          <w:rFonts w:ascii="Arial" w:eastAsia="Cambria" w:hAnsi="Arial" w:cs="Arial"/>
        </w:rPr>
        <w:t>lSSTEY</w:t>
      </w:r>
      <w:proofErr w:type="spellEnd"/>
      <w:r w:rsidRPr="00B8624A">
        <w:rPr>
          <w:rFonts w:ascii="Arial" w:eastAsia="Cambria" w:hAnsi="Arial" w:cs="Arial"/>
        </w:rPr>
        <w:t>), existe un convenio con el IMSS</w:t>
      </w:r>
      <w:r w:rsidR="00623183">
        <w:rPr>
          <w:rFonts w:ascii="Arial" w:eastAsia="Cambria" w:hAnsi="Arial" w:cs="Arial"/>
        </w:rPr>
        <w:t xml:space="preserve"> </w:t>
      </w:r>
      <w:r w:rsidRPr="00B8624A">
        <w:rPr>
          <w:rFonts w:ascii="Arial" w:eastAsia="Cambria" w:hAnsi="Arial" w:cs="Arial"/>
        </w:rPr>
        <w:lastRenderedPageBreak/>
        <w:t>cuyo objetivo es incorporar al Régimen obligatorio del Seguro Social a los Trabajadores que presentan sus servicios en el Municipio de Mérida para que reciban junto con sus familiares derechohabientes, las prestaciones en especie consignadas en el Seguro de enfermedades y maternidad, consistentes en la asistencia médico quirúrgica, farmacéutica y hospitalaria, mismas que también se otorgan en los casos de riesgos de trabajo. Así mismo como parte de las prestaciones que se otorgan, durante el ejercicio 2016 el Ayuntamiento firmó un convenio con el INFONAVIT, con la finalidad de poder brindarle a los trabajadores mejores oportunidades para la adquisición de viviendas dignas</w:t>
      </w:r>
      <w:r w:rsidR="00F6256A" w:rsidRPr="00B8624A">
        <w:rPr>
          <w:rFonts w:ascii="Arial" w:eastAsia="Cambria" w:hAnsi="Arial" w:cs="Arial"/>
        </w:rPr>
        <w:t>.</w:t>
      </w:r>
    </w:p>
    <w:p w14:paraId="611C1379" w14:textId="77777777" w:rsidR="00724CA5" w:rsidRPr="00B8624A" w:rsidRDefault="00724CA5" w:rsidP="00B8624A">
      <w:pPr>
        <w:spacing w:line="360" w:lineRule="auto"/>
        <w:ind w:left="426"/>
        <w:rPr>
          <w:rFonts w:ascii="Arial" w:hAnsi="Arial" w:cs="Arial"/>
        </w:rPr>
      </w:pPr>
      <w:r w:rsidRPr="00B8624A">
        <w:rPr>
          <w:rFonts w:ascii="Arial" w:eastAsia="Cambria" w:hAnsi="Arial" w:cs="Arial"/>
          <w:b/>
        </w:rPr>
        <w:t>6.4 Obligaciones fiscales.</w:t>
      </w:r>
    </w:p>
    <w:p w14:paraId="0D2404AB" w14:textId="24B4E5A4" w:rsidR="00724CA5" w:rsidRPr="00B8624A" w:rsidRDefault="00724CA5" w:rsidP="00B8624A">
      <w:pPr>
        <w:spacing w:line="360" w:lineRule="auto"/>
        <w:ind w:left="426"/>
        <w:jc w:val="both"/>
        <w:rPr>
          <w:rFonts w:ascii="Arial" w:hAnsi="Arial" w:cs="Arial"/>
        </w:rPr>
      </w:pPr>
      <w:r w:rsidRPr="00B8624A">
        <w:rPr>
          <w:rFonts w:ascii="Arial" w:eastAsia="Cambria" w:hAnsi="Arial" w:cs="Arial"/>
        </w:rPr>
        <w:t>En el ámbito fiscal, el Ente no es contribuyente del impuesto sobre la renta, sin embargo, las demás obligaciones se sujetan a ejercicios fiscales el cua</w:t>
      </w:r>
      <w:r w:rsidR="00081A93" w:rsidRPr="00B8624A">
        <w:rPr>
          <w:rFonts w:ascii="Arial" w:eastAsia="Cambria" w:hAnsi="Arial" w:cs="Arial"/>
        </w:rPr>
        <w:t>l comprende del 1 de enero al 3</w:t>
      </w:r>
      <w:r w:rsidR="00623183">
        <w:rPr>
          <w:rFonts w:ascii="Arial" w:eastAsia="Cambria" w:hAnsi="Arial" w:cs="Arial"/>
        </w:rPr>
        <w:t>1</w:t>
      </w:r>
      <w:r w:rsidRPr="00B8624A">
        <w:rPr>
          <w:rFonts w:ascii="Arial" w:eastAsia="Cambria" w:hAnsi="Arial" w:cs="Arial"/>
        </w:rPr>
        <w:t xml:space="preserve"> de </w:t>
      </w:r>
      <w:r w:rsidR="00623183">
        <w:rPr>
          <w:rFonts w:ascii="Arial" w:eastAsia="Cambria" w:hAnsi="Arial" w:cs="Arial"/>
        </w:rPr>
        <w:t>Diciembre</w:t>
      </w:r>
      <w:r w:rsidRPr="00B8624A">
        <w:rPr>
          <w:rFonts w:ascii="Arial" w:eastAsia="Cambria" w:hAnsi="Arial" w:cs="Arial"/>
        </w:rPr>
        <w:t xml:space="preserve"> del 202</w:t>
      </w:r>
      <w:r w:rsidR="00E904BB">
        <w:rPr>
          <w:rFonts w:ascii="Arial" w:eastAsia="Cambria" w:hAnsi="Arial" w:cs="Arial"/>
        </w:rPr>
        <w:t>2</w:t>
      </w:r>
      <w:r w:rsidR="00081A93" w:rsidRPr="00B8624A">
        <w:rPr>
          <w:rFonts w:ascii="Arial" w:eastAsia="Cambria" w:hAnsi="Arial" w:cs="Arial"/>
        </w:rPr>
        <w:t>.</w:t>
      </w:r>
    </w:p>
    <w:p w14:paraId="39D3C354" w14:textId="77777777" w:rsidR="008E2AF8" w:rsidRPr="00B8624A" w:rsidRDefault="00724CA5" w:rsidP="00B8624A">
      <w:pPr>
        <w:spacing w:line="360" w:lineRule="auto"/>
        <w:ind w:left="426"/>
        <w:jc w:val="both"/>
        <w:rPr>
          <w:rFonts w:ascii="Arial" w:eastAsia="Cambria" w:hAnsi="Arial" w:cs="Arial"/>
        </w:rPr>
      </w:pPr>
      <w:r w:rsidRPr="00B8624A">
        <w:rPr>
          <w:rFonts w:ascii="Arial" w:eastAsia="Cambria" w:hAnsi="Arial" w:cs="Arial"/>
        </w:rPr>
        <w:t xml:space="preserve">Las principales obligaciones fiscales a que se encuentra sujeto son: </w:t>
      </w:r>
    </w:p>
    <w:p w14:paraId="0BF931A1" w14:textId="77777777" w:rsidR="00F6256A" w:rsidRPr="00B8624A" w:rsidRDefault="00724CA5" w:rsidP="00B8624A">
      <w:pPr>
        <w:numPr>
          <w:ilvl w:val="0"/>
          <w:numId w:val="18"/>
        </w:numPr>
        <w:spacing w:after="120" w:line="360" w:lineRule="auto"/>
        <w:ind w:left="993" w:hanging="360"/>
        <w:contextualSpacing/>
        <w:jc w:val="both"/>
        <w:rPr>
          <w:rFonts w:ascii="Arial" w:eastAsia="Cambria" w:hAnsi="Arial" w:cs="Arial"/>
        </w:rPr>
      </w:pPr>
      <w:r w:rsidRPr="00B8624A">
        <w:rPr>
          <w:rFonts w:ascii="Arial" w:eastAsia="Cambria" w:hAnsi="Arial" w:cs="Arial"/>
        </w:rPr>
        <w:t>Retener y enterar el impuesto sobre la Renta por sueldos y salarios, por los servicios personales independientes y por el arrendamiento de bienes inmuebles, pagados a personas físicas.</w:t>
      </w:r>
    </w:p>
    <w:p w14:paraId="71F1A53B" w14:textId="77777777" w:rsidR="008E2AF8" w:rsidRPr="00B8624A" w:rsidRDefault="00724CA5" w:rsidP="00B8624A">
      <w:pPr>
        <w:numPr>
          <w:ilvl w:val="0"/>
          <w:numId w:val="18"/>
        </w:numPr>
        <w:spacing w:after="120" w:line="360" w:lineRule="auto"/>
        <w:ind w:left="993" w:hanging="360"/>
        <w:contextualSpacing/>
        <w:jc w:val="both"/>
        <w:rPr>
          <w:rFonts w:ascii="Arial" w:eastAsia="Cambria" w:hAnsi="Arial" w:cs="Arial"/>
        </w:rPr>
      </w:pPr>
      <w:r w:rsidRPr="00B8624A">
        <w:rPr>
          <w:rFonts w:ascii="Arial" w:eastAsia="Cambria" w:hAnsi="Arial" w:cs="Arial"/>
        </w:rPr>
        <w:t>Comprobantes fiscales digitales por internet (CFDI): Exigirlos cuando se hagan pagos a terceros (proveedores de bienes y servicios) y expedirlos para acreditar las enajenaciones que efectúen, los servicios que presten o el otorgamiento del uso o goce temporal de bienes.</w:t>
      </w:r>
    </w:p>
    <w:p w14:paraId="5E5CCE07" w14:textId="77777777" w:rsidR="008E2AF8" w:rsidRPr="00B8624A" w:rsidRDefault="00724CA5" w:rsidP="00B8624A">
      <w:pPr>
        <w:numPr>
          <w:ilvl w:val="0"/>
          <w:numId w:val="18"/>
        </w:numPr>
        <w:spacing w:after="120" w:line="360" w:lineRule="auto"/>
        <w:ind w:left="993" w:hanging="360"/>
        <w:contextualSpacing/>
        <w:jc w:val="both"/>
        <w:rPr>
          <w:rFonts w:ascii="Arial" w:eastAsia="Cambria" w:hAnsi="Arial" w:cs="Arial"/>
        </w:rPr>
      </w:pPr>
      <w:r w:rsidRPr="00B8624A">
        <w:rPr>
          <w:rFonts w:ascii="Arial" w:eastAsia="Cambria" w:hAnsi="Arial" w:cs="Arial"/>
        </w:rPr>
        <w:t>Presentar los avisos al Registro Federal de Contribuyentes a que se encuentre obligado.</w:t>
      </w:r>
    </w:p>
    <w:p w14:paraId="2958DDA7" w14:textId="77777777" w:rsidR="00724CA5" w:rsidRPr="00B8624A" w:rsidRDefault="00724CA5" w:rsidP="00B8624A">
      <w:pPr>
        <w:numPr>
          <w:ilvl w:val="0"/>
          <w:numId w:val="18"/>
        </w:numPr>
        <w:spacing w:after="120" w:line="360" w:lineRule="auto"/>
        <w:ind w:left="993" w:hanging="360"/>
        <w:contextualSpacing/>
        <w:jc w:val="both"/>
        <w:rPr>
          <w:rFonts w:ascii="Arial" w:eastAsia="Cambria" w:hAnsi="Arial" w:cs="Arial"/>
        </w:rPr>
      </w:pPr>
      <w:r w:rsidRPr="00B8624A">
        <w:rPr>
          <w:rFonts w:ascii="Arial" w:eastAsia="Cambria" w:hAnsi="Arial" w:cs="Arial"/>
        </w:rPr>
        <w:t xml:space="preserve">Presentación de las Declaraciones Informativas que establezcan las disposiciones fiscales. </w:t>
      </w:r>
    </w:p>
    <w:p w14:paraId="513C13DA" w14:textId="77777777" w:rsidR="005204E8" w:rsidRPr="00B8624A" w:rsidRDefault="005204E8" w:rsidP="00B8624A">
      <w:pPr>
        <w:spacing w:after="120" w:line="360" w:lineRule="auto"/>
        <w:contextualSpacing/>
        <w:jc w:val="both"/>
        <w:rPr>
          <w:rFonts w:ascii="Arial" w:eastAsia="Cambria" w:hAnsi="Arial" w:cs="Arial"/>
        </w:rPr>
      </w:pPr>
    </w:p>
    <w:p w14:paraId="08D27747" w14:textId="77777777" w:rsidR="00724CA5" w:rsidRPr="00B8624A" w:rsidRDefault="00724CA5" w:rsidP="00B8624A">
      <w:pPr>
        <w:spacing w:line="360" w:lineRule="auto"/>
        <w:ind w:left="426"/>
        <w:jc w:val="both"/>
        <w:rPr>
          <w:rFonts w:ascii="Arial" w:hAnsi="Arial" w:cs="Arial"/>
        </w:rPr>
      </w:pPr>
      <w:r w:rsidRPr="00B8624A">
        <w:rPr>
          <w:rFonts w:ascii="Arial" w:eastAsia="Cambria" w:hAnsi="Arial" w:cs="Arial"/>
          <w:b/>
        </w:rPr>
        <w:t>6.5 Información Presupuestaria.</w:t>
      </w:r>
    </w:p>
    <w:p w14:paraId="0D36938C" w14:textId="77777777" w:rsidR="00724CA5" w:rsidRPr="00B8624A" w:rsidRDefault="00724CA5" w:rsidP="00B8624A">
      <w:pPr>
        <w:spacing w:line="360" w:lineRule="auto"/>
        <w:ind w:left="426"/>
        <w:jc w:val="both"/>
        <w:rPr>
          <w:rFonts w:ascii="Arial" w:eastAsia="Cambria" w:hAnsi="Arial" w:cs="Arial"/>
        </w:rPr>
      </w:pPr>
      <w:r w:rsidRPr="00B8624A">
        <w:rPr>
          <w:rFonts w:ascii="Arial" w:eastAsia="Cambria" w:hAnsi="Arial" w:cs="Arial"/>
        </w:rPr>
        <w:t xml:space="preserve"> El ente mantiene un registro de las etapas del presupuesto lo siguiente:</w:t>
      </w:r>
    </w:p>
    <w:p w14:paraId="471BE518" w14:textId="77777777" w:rsidR="005D4A0A" w:rsidRPr="005D4A0A" w:rsidRDefault="00724CA5" w:rsidP="005D4A0A">
      <w:pPr>
        <w:pStyle w:val="Sinespaciado"/>
        <w:ind w:left="426"/>
        <w:rPr>
          <w:rFonts w:ascii="Arial" w:eastAsia="Cambria" w:hAnsi="Arial" w:cs="Arial"/>
        </w:rPr>
      </w:pPr>
      <w:r w:rsidRPr="005D4A0A">
        <w:rPr>
          <w:rFonts w:ascii="Arial" w:eastAsia="Cambria" w:hAnsi="Arial" w:cs="Arial"/>
        </w:rPr>
        <w:t>I.- En lo relativo al gasto, el aprobado, modificado, comprometido, devengado, ejercido y pagado.</w:t>
      </w:r>
    </w:p>
    <w:p w14:paraId="464A7DD6" w14:textId="30DAFCB4" w:rsidR="00623183" w:rsidRDefault="00724CA5" w:rsidP="00B42A8E">
      <w:pPr>
        <w:pStyle w:val="Sinespaciado"/>
        <w:ind w:left="426"/>
        <w:rPr>
          <w:rFonts w:ascii="Arial" w:eastAsia="Cambria" w:hAnsi="Arial" w:cs="Arial"/>
        </w:rPr>
      </w:pPr>
      <w:r w:rsidRPr="005D4A0A">
        <w:rPr>
          <w:rFonts w:ascii="Arial" w:eastAsia="Cambria" w:hAnsi="Arial" w:cs="Arial"/>
        </w:rPr>
        <w:t>II.- En lo relativo al ingreso, el estimado, modificado, devengado y recaudado.</w:t>
      </w:r>
    </w:p>
    <w:p w14:paraId="6857F473" w14:textId="77777777" w:rsidR="005D4A0A" w:rsidRDefault="005D4A0A" w:rsidP="00623183">
      <w:pPr>
        <w:spacing w:line="360" w:lineRule="auto"/>
        <w:jc w:val="both"/>
        <w:rPr>
          <w:rFonts w:ascii="Arial" w:eastAsia="Cambria" w:hAnsi="Arial" w:cs="Arial"/>
        </w:rPr>
      </w:pPr>
    </w:p>
    <w:p w14:paraId="3289E04F" w14:textId="366B7E73" w:rsidR="00724CA5" w:rsidRPr="00B8624A" w:rsidRDefault="00623183" w:rsidP="00623183">
      <w:pPr>
        <w:spacing w:line="360" w:lineRule="auto"/>
        <w:jc w:val="both"/>
        <w:rPr>
          <w:rFonts w:ascii="Arial" w:hAnsi="Arial" w:cs="Arial"/>
        </w:rPr>
      </w:pPr>
      <w:r>
        <w:t xml:space="preserve">            </w:t>
      </w:r>
      <w:r w:rsidR="00724CA5" w:rsidRPr="00B8624A">
        <w:rPr>
          <w:rFonts w:ascii="Arial" w:eastAsia="Cambria" w:hAnsi="Arial" w:cs="Arial"/>
          <w:b/>
        </w:rPr>
        <w:t>7. Posición en Moneda Extranjera y Protección por Riesgo Cambiario.</w:t>
      </w:r>
    </w:p>
    <w:p w14:paraId="31AA200B" w14:textId="7ABEAFB8" w:rsidR="003A2F7C" w:rsidRDefault="00724CA5" w:rsidP="00B8624A">
      <w:pPr>
        <w:spacing w:line="360" w:lineRule="auto"/>
        <w:ind w:left="426"/>
        <w:jc w:val="both"/>
        <w:rPr>
          <w:rFonts w:ascii="Arial" w:eastAsia="Cambria" w:hAnsi="Arial" w:cs="Arial"/>
        </w:rPr>
      </w:pPr>
      <w:r w:rsidRPr="00B8624A">
        <w:rPr>
          <w:rFonts w:ascii="Arial" w:eastAsia="Cambria" w:hAnsi="Arial" w:cs="Arial"/>
        </w:rPr>
        <w:lastRenderedPageBreak/>
        <w:t>No cuenta con ningún activo o pasivo en moneda extranjera.</w:t>
      </w:r>
    </w:p>
    <w:p w14:paraId="0ED4628A" w14:textId="77777777" w:rsidR="00724CA5" w:rsidRPr="00B8624A" w:rsidRDefault="00724CA5" w:rsidP="00B8624A">
      <w:pPr>
        <w:spacing w:line="360" w:lineRule="auto"/>
        <w:ind w:left="426"/>
        <w:jc w:val="both"/>
        <w:rPr>
          <w:rFonts w:ascii="Arial" w:eastAsia="Cambria" w:hAnsi="Arial" w:cs="Arial"/>
          <w:b/>
        </w:rPr>
      </w:pPr>
      <w:r w:rsidRPr="00B8624A">
        <w:rPr>
          <w:rFonts w:ascii="Arial" w:eastAsia="Cambria" w:hAnsi="Arial" w:cs="Arial"/>
          <w:b/>
        </w:rPr>
        <w:t>8. Reporte Analítico del Activo</w:t>
      </w:r>
    </w:p>
    <w:p w14:paraId="04D4F29F" w14:textId="410D2897" w:rsidR="00724CA5" w:rsidRPr="00B42A8E" w:rsidRDefault="003A2F7C" w:rsidP="00B42A8E">
      <w:pPr>
        <w:spacing w:line="360" w:lineRule="auto"/>
        <w:ind w:left="426"/>
        <w:jc w:val="both"/>
        <w:rPr>
          <w:rFonts w:ascii="Arial" w:eastAsia="Cambria" w:hAnsi="Arial" w:cs="Arial"/>
        </w:rPr>
      </w:pPr>
      <w:r w:rsidRPr="008E2AF8">
        <w:rPr>
          <w:noProof/>
          <w:lang w:eastAsia="es-MX"/>
        </w:rPr>
        <w:drawing>
          <wp:anchor distT="0" distB="0" distL="114300" distR="114300" simplePos="0" relativeHeight="251663872" behindDoc="0" locked="0" layoutInCell="1" allowOverlap="1" wp14:anchorId="33B75B1A" wp14:editId="09AA7FB3">
            <wp:simplePos x="0" y="0"/>
            <wp:positionH relativeFrom="column">
              <wp:posOffset>833755</wp:posOffset>
            </wp:positionH>
            <wp:positionV relativeFrom="paragraph">
              <wp:posOffset>529590</wp:posOffset>
            </wp:positionV>
            <wp:extent cx="4892040" cy="6080125"/>
            <wp:effectExtent l="0" t="0" r="3810" b="0"/>
            <wp:wrapThrough wrapText="bothSides">
              <wp:wrapPolygon edited="0">
                <wp:start x="0" y="0"/>
                <wp:lineTo x="0" y="21521"/>
                <wp:lineTo x="13794" y="21521"/>
                <wp:lineTo x="21533" y="21521"/>
                <wp:lineTo x="21533" y="0"/>
                <wp:lineTo x="0" y="0"/>
              </wp:wrapPolygon>
            </wp:wrapThrough>
            <wp:docPr id="299" name="Imagen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rotWithShape="1">
                    <a:blip r:embed="rId29">
                      <a:extLst>
                        <a:ext uri="{28A0092B-C50C-407E-A947-70E740481C1C}">
                          <a14:useLocalDpi xmlns:a14="http://schemas.microsoft.com/office/drawing/2010/main" val="0"/>
                        </a:ext>
                      </a:extLst>
                    </a:blip>
                    <a:srcRect b="1546"/>
                    <a:stretch/>
                  </pic:blipFill>
                  <pic:spPr bwMode="auto">
                    <a:xfrm>
                      <a:off x="0" y="0"/>
                      <a:ext cx="4892040" cy="608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4CA5" w:rsidRPr="00B8624A">
        <w:rPr>
          <w:rFonts w:ascii="Arial" w:eastAsia="Cambria" w:hAnsi="Arial" w:cs="Arial"/>
        </w:rPr>
        <w:t>La vida útil utilizada en los bienes propiedad del Municipio se basa en los lineamientos emitidos por el CONAC mediante</w:t>
      </w:r>
      <w:r w:rsidR="00B42A8E">
        <w:rPr>
          <w:rFonts w:ascii="Arial" w:eastAsia="Cambria" w:hAnsi="Arial" w:cs="Arial"/>
        </w:rPr>
        <w:t xml:space="preserve"> </w:t>
      </w:r>
      <w:r w:rsidR="00724CA5" w:rsidRPr="00B8624A">
        <w:rPr>
          <w:rFonts w:ascii="Arial" w:eastAsia="Cambria" w:hAnsi="Arial" w:cs="Arial"/>
        </w:rPr>
        <w:t>los Parámetros de Estimación de Vida Útil, los cuales son:</w:t>
      </w:r>
    </w:p>
    <w:p w14:paraId="786C70DC" w14:textId="1B6297E1" w:rsidR="00724CA5" w:rsidRDefault="00724CA5" w:rsidP="008E2AF8">
      <w:pPr>
        <w:ind w:left="426"/>
        <w:jc w:val="center"/>
        <w:rPr>
          <w:rFonts w:ascii="Cambria" w:eastAsia="Cambria" w:hAnsi="Cambria"/>
          <w:noProof/>
          <w:lang w:val="es-ES" w:eastAsia="es-ES"/>
        </w:rPr>
      </w:pPr>
    </w:p>
    <w:p w14:paraId="3069616A" w14:textId="55CAEEB5" w:rsidR="005D4A0A" w:rsidRDefault="005D4A0A" w:rsidP="008E2AF8">
      <w:pPr>
        <w:ind w:left="426"/>
        <w:jc w:val="center"/>
        <w:rPr>
          <w:rFonts w:ascii="Cambria" w:eastAsia="Cambria" w:hAnsi="Cambria"/>
          <w:noProof/>
          <w:lang w:val="es-ES" w:eastAsia="es-ES"/>
        </w:rPr>
      </w:pPr>
    </w:p>
    <w:p w14:paraId="65346F5E" w14:textId="27A14C48" w:rsidR="005D4A0A" w:rsidRDefault="005D4A0A" w:rsidP="008E2AF8">
      <w:pPr>
        <w:ind w:left="426"/>
        <w:jc w:val="center"/>
        <w:rPr>
          <w:rFonts w:ascii="Cambria" w:eastAsia="Cambria" w:hAnsi="Cambria"/>
          <w:noProof/>
          <w:lang w:val="es-ES" w:eastAsia="es-ES"/>
        </w:rPr>
      </w:pPr>
    </w:p>
    <w:p w14:paraId="71F8258B" w14:textId="57C538F6" w:rsidR="005D4A0A" w:rsidRDefault="005D4A0A" w:rsidP="008E2AF8">
      <w:pPr>
        <w:ind w:left="426"/>
        <w:jc w:val="center"/>
        <w:rPr>
          <w:rFonts w:ascii="Cambria" w:eastAsia="Cambria" w:hAnsi="Cambria"/>
          <w:noProof/>
          <w:lang w:val="es-ES" w:eastAsia="es-ES"/>
        </w:rPr>
      </w:pPr>
    </w:p>
    <w:p w14:paraId="44270BC2" w14:textId="28FAFBE0" w:rsidR="005D4A0A" w:rsidRDefault="005D4A0A" w:rsidP="008E2AF8">
      <w:pPr>
        <w:ind w:left="426"/>
        <w:jc w:val="center"/>
        <w:rPr>
          <w:rFonts w:ascii="Cambria" w:eastAsia="Cambria" w:hAnsi="Cambria"/>
          <w:noProof/>
          <w:lang w:val="es-ES" w:eastAsia="es-ES"/>
        </w:rPr>
      </w:pPr>
    </w:p>
    <w:p w14:paraId="3F9D9784" w14:textId="1BCA8650" w:rsidR="005D4A0A" w:rsidRDefault="005D4A0A" w:rsidP="008E2AF8">
      <w:pPr>
        <w:ind w:left="426"/>
        <w:jc w:val="center"/>
        <w:rPr>
          <w:rFonts w:ascii="Cambria" w:eastAsia="Cambria" w:hAnsi="Cambria"/>
          <w:noProof/>
          <w:lang w:val="es-ES" w:eastAsia="es-ES"/>
        </w:rPr>
      </w:pPr>
    </w:p>
    <w:p w14:paraId="438F58FE" w14:textId="6D55EF5F" w:rsidR="005D4A0A" w:rsidRDefault="005D4A0A" w:rsidP="008E2AF8">
      <w:pPr>
        <w:ind w:left="426"/>
        <w:jc w:val="center"/>
        <w:rPr>
          <w:rFonts w:ascii="Cambria" w:eastAsia="Cambria" w:hAnsi="Cambria"/>
          <w:noProof/>
          <w:lang w:val="es-ES" w:eastAsia="es-ES"/>
        </w:rPr>
      </w:pPr>
    </w:p>
    <w:p w14:paraId="14CD0D52" w14:textId="1984B55E" w:rsidR="005D4A0A" w:rsidRDefault="005D4A0A" w:rsidP="008E2AF8">
      <w:pPr>
        <w:ind w:left="426"/>
        <w:jc w:val="center"/>
        <w:rPr>
          <w:rFonts w:ascii="Cambria" w:eastAsia="Cambria" w:hAnsi="Cambria"/>
          <w:noProof/>
          <w:lang w:val="es-ES" w:eastAsia="es-ES"/>
        </w:rPr>
      </w:pPr>
    </w:p>
    <w:p w14:paraId="132EA1EE" w14:textId="7F06E593" w:rsidR="005D4A0A" w:rsidRDefault="005D4A0A" w:rsidP="008E2AF8">
      <w:pPr>
        <w:ind w:left="426"/>
        <w:jc w:val="center"/>
        <w:rPr>
          <w:rFonts w:ascii="Cambria" w:eastAsia="Cambria" w:hAnsi="Cambria"/>
          <w:noProof/>
          <w:lang w:val="es-ES" w:eastAsia="es-ES"/>
        </w:rPr>
      </w:pPr>
    </w:p>
    <w:p w14:paraId="46A2287F" w14:textId="55F85FC9" w:rsidR="005D4A0A" w:rsidRDefault="005D4A0A" w:rsidP="008E2AF8">
      <w:pPr>
        <w:ind w:left="426"/>
        <w:jc w:val="center"/>
        <w:rPr>
          <w:rFonts w:ascii="Cambria" w:eastAsia="Cambria" w:hAnsi="Cambria"/>
          <w:noProof/>
          <w:lang w:val="es-ES" w:eastAsia="es-ES"/>
        </w:rPr>
      </w:pPr>
    </w:p>
    <w:p w14:paraId="347F7F15" w14:textId="1A3B1309" w:rsidR="005D4A0A" w:rsidRDefault="005D4A0A" w:rsidP="008E2AF8">
      <w:pPr>
        <w:ind w:left="426"/>
        <w:jc w:val="center"/>
        <w:rPr>
          <w:rFonts w:ascii="Cambria" w:eastAsia="Cambria" w:hAnsi="Cambria"/>
          <w:noProof/>
          <w:lang w:val="es-ES" w:eastAsia="es-ES"/>
        </w:rPr>
      </w:pPr>
    </w:p>
    <w:p w14:paraId="675601E8" w14:textId="6993FF9D" w:rsidR="005D4A0A" w:rsidRDefault="005D4A0A" w:rsidP="008E2AF8">
      <w:pPr>
        <w:ind w:left="426"/>
        <w:jc w:val="center"/>
        <w:rPr>
          <w:rFonts w:ascii="Cambria" w:eastAsia="Cambria" w:hAnsi="Cambria"/>
          <w:noProof/>
          <w:lang w:val="es-ES" w:eastAsia="es-ES"/>
        </w:rPr>
      </w:pPr>
    </w:p>
    <w:p w14:paraId="6DC21E2C" w14:textId="4B0C6CA7" w:rsidR="005D4A0A" w:rsidRDefault="005D4A0A" w:rsidP="008E2AF8">
      <w:pPr>
        <w:ind w:left="426"/>
        <w:jc w:val="center"/>
        <w:rPr>
          <w:rFonts w:ascii="Cambria" w:eastAsia="Cambria" w:hAnsi="Cambria"/>
          <w:noProof/>
          <w:lang w:val="es-ES" w:eastAsia="es-ES"/>
        </w:rPr>
      </w:pPr>
    </w:p>
    <w:p w14:paraId="36B12773" w14:textId="45432604" w:rsidR="005D4A0A" w:rsidRDefault="005D4A0A" w:rsidP="008E2AF8">
      <w:pPr>
        <w:ind w:left="426"/>
        <w:jc w:val="center"/>
        <w:rPr>
          <w:rFonts w:ascii="Cambria" w:eastAsia="Cambria" w:hAnsi="Cambria"/>
          <w:noProof/>
          <w:lang w:val="es-ES" w:eastAsia="es-ES"/>
        </w:rPr>
      </w:pPr>
    </w:p>
    <w:p w14:paraId="3C164CFB" w14:textId="3E9417BE" w:rsidR="005D4A0A" w:rsidRDefault="005D4A0A" w:rsidP="008E2AF8">
      <w:pPr>
        <w:ind w:left="426"/>
        <w:jc w:val="center"/>
        <w:rPr>
          <w:rFonts w:ascii="Cambria" w:eastAsia="Cambria" w:hAnsi="Cambria"/>
          <w:noProof/>
          <w:lang w:val="es-ES" w:eastAsia="es-ES"/>
        </w:rPr>
      </w:pPr>
    </w:p>
    <w:p w14:paraId="525FB6B4" w14:textId="3CF0F9B2" w:rsidR="005D4A0A" w:rsidRDefault="005D4A0A" w:rsidP="008E2AF8">
      <w:pPr>
        <w:ind w:left="426"/>
        <w:jc w:val="center"/>
        <w:rPr>
          <w:rFonts w:ascii="Cambria" w:eastAsia="Cambria" w:hAnsi="Cambria"/>
          <w:noProof/>
          <w:lang w:val="es-ES" w:eastAsia="es-ES"/>
        </w:rPr>
      </w:pPr>
    </w:p>
    <w:p w14:paraId="03A8077F" w14:textId="603440D7" w:rsidR="005D4A0A" w:rsidRDefault="005D4A0A" w:rsidP="008E2AF8">
      <w:pPr>
        <w:ind w:left="426"/>
        <w:jc w:val="center"/>
        <w:rPr>
          <w:rFonts w:ascii="Cambria" w:eastAsia="Cambria" w:hAnsi="Cambria"/>
          <w:noProof/>
          <w:lang w:val="es-ES" w:eastAsia="es-ES"/>
        </w:rPr>
      </w:pPr>
    </w:p>
    <w:p w14:paraId="4FA870AA" w14:textId="0BF70D91" w:rsidR="005D4A0A" w:rsidRDefault="005D4A0A" w:rsidP="008E2AF8">
      <w:pPr>
        <w:ind w:left="426"/>
        <w:jc w:val="center"/>
        <w:rPr>
          <w:rFonts w:ascii="Cambria" w:eastAsia="Cambria" w:hAnsi="Cambria"/>
          <w:noProof/>
          <w:lang w:val="es-ES" w:eastAsia="es-ES"/>
        </w:rPr>
      </w:pPr>
    </w:p>
    <w:p w14:paraId="3FCD6835" w14:textId="462386BB" w:rsidR="005D4A0A" w:rsidRDefault="005D4A0A" w:rsidP="008E2AF8">
      <w:pPr>
        <w:ind w:left="426"/>
        <w:jc w:val="center"/>
        <w:rPr>
          <w:rFonts w:ascii="Cambria" w:eastAsia="Cambria" w:hAnsi="Cambria"/>
          <w:noProof/>
          <w:lang w:val="es-ES" w:eastAsia="es-ES"/>
        </w:rPr>
      </w:pPr>
    </w:p>
    <w:p w14:paraId="5BF486BA" w14:textId="77777777" w:rsidR="005D4A0A" w:rsidRPr="008E2AF8" w:rsidRDefault="005D4A0A" w:rsidP="008E2AF8">
      <w:pPr>
        <w:ind w:left="426"/>
        <w:jc w:val="center"/>
        <w:rPr>
          <w:rFonts w:ascii="Cambria" w:eastAsia="Cambria" w:hAnsi="Cambria"/>
          <w:noProof/>
          <w:lang w:val="es-ES" w:eastAsia="es-ES"/>
        </w:rPr>
      </w:pPr>
    </w:p>
    <w:p w14:paraId="6993FD60" w14:textId="77777777" w:rsidR="00B42A8E" w:rsidRDefault="00B42A8E" w:rsidP="004F14A0">
      <w:pPr>
        <w:ind w:left="426"/>
        <w:jc w:val="both"/>
        <w:rPr>
          <w:rFonts w:ascii="Cambria" w:eastAsia="Cambria" w:hAnsi="Cambria" w:cs="Cambria"/>
          <w:b/>
          <w:sz w:val="24"/>
          <w:szCs w:val="24"/>
        </w:rPr>
      </w:pPr>
    </w:p>
    <w:p w14:paraId="7332A37A" w14:textId="5C1D42AE" w:rsidR="00724CA5" w:rsidRPr="00A002F3" w:rsidRDefault="00724CA5" w:rsidP="004F14A0">
      <w:pPr>
        <w:ind w:left="426"/>
        <w:jc w:val="both"/>
        <w:rPr>
          <w:rFonts w:ascii="Cambria" w:hAnsi="Cambria"/>
          <w:sz w:val="24"/>
          <w:szCs w:val="24"/>
        </w:rPr>
      </w:pPr>
      <w:r w:rsidRPr="00A002F3">
        <w:rPr>
          <w:rFonts w:ascii="Cambria" w:eastAsia="Cambria" w:hAnsi="Cambria" w:cs="Cambria"/>
          <w:b/>
          <w:sz w:val="24"/>
          <w:szCs w:val="24"/>
        </w:rPr>
        <w:t>9. Fideicomisos, Mandatos y Análogos.</w:t>
      </w:r>
    </w:p>
    <w:p w14:paraId="78B66D63" w14:textId="77777777" w:rsidR="00724CA5" w:rsidRPr="00B8624A" w:rsidRDefault="00724CA5" w:rsidP="00734F0C">
      <w:pPr>
        <w:spacing w:line="276" w:lineRule="auto"/>
        <w:ind w:left="426"/>
        <w:jc w:val="both"/>
        <w:rPr>
          <w:rFonts w:ascii="Arial" w:hAnsi="Arial" w:cs="Arial"/>
        </w:rPr>
      </w:pPr>
      <w:r w:rsidRPr="00B8624A">
        <w:rPr>
          <w:rFonts w:ascii="Arial" w:eastAsia="Cambria" w:hAnsi="Arial" w:cs="Arial"/>
        </w:rPr>
        <w:t xml:space="preserve">Con el propósito de dar cumplimiento a lo dispuesto por el artículo </w:t>
      </w:r>
      <w:r w:rsidR="003A240F" w:rsidRPr="00B8624A">
        <w:rPr>
          <w:rFonts w:ascii="Arial" w:eastAsia="Cambria" w:hAnsi="Arial" w:cs="Arial"/>
        </w:rPr>
        <w:t xml:space="preserve">32 </w:t>
      </w:r>
      <w:r w:rsidRPr="00B8624A">
        <w:rPr>
          <w:rFonts w:ascii="Arial" w:eastAsia="Cambria" w:hAnsi="Arial" w:cs="Arial"/>
        </w:rPr>
        <w:t>de la Ley General de Contabilidad Gubernamental, se manifiesta que en el caso del</w:t>
      </w:r>
      <w:r w:rsidRPr="00B8624A">
        <w:rPr>
          <w:rFonts w:ascii="Arial" w:hAnsi="Arial" w:cs="Arial"/>
        </w:rPr>
        <w:t xml:space="preserve"> </w:t>
      </w:r>
      <w:r w:rsidRPr="00B8624A">
        <w:rPr>
          <w:rFonts w:ascii="Arial" w:hAnsi="Arial" w:cs="Arial"/>
          <w:b/>
        </w:rPr>
        <w:t>Ayuntamiento</w:t>
      </w:r>
      <w:r w:rsidRPr="00B8624A">
        <w:rPr>
          <w:rFonts w:ascii="Arial" w:eastAsia="Cambria" w:hAnsi="Arial" w:cs="Arial"/>
          <w:b/>
        </w:rPr>
        <w:t xml:space="preserve"> del Municipio de Mérida</w:t>
      </w:r>
      <w:r w:rsidRPr="00B8624A">
        <w:rPr>
          <w:rFonts w:ascii="Arial" w:eastAsia="Cambria" w:hAnsi="Arial" w:cs="Arial"/>
        </w:rPr>
        <w:t xml:space="preserve"> cuenta con Fideicomiso, Mandato y Análogo siguiente:</w:t>
      </w:r>
    </w:p>
    <w:p w14:paraId="5DB1617D" w14:textId="20FD1B7E" w:rsidR="00184BC1" w:rsidRPr="005D4A0A" w:rsidRDefault="00724CA5" w:rsidP="0082256D">
      <w:pPr>
        <w:pStyle w:val="Prrafodelista"/>
        <w:numPr>
          <w:ilvl w:val="0"/>
          <w:numId w:val="19"/>
        </w:numPr>
        <w:spacing w:after="0" w:line="276" w:lineRule="auto"/>
        <w:ind w:left="426" w:firstLine="0"/>
        <w:contextualSpacing w:val="0"/>
        <w:jc w:val="both"/>
        <w:rPr>
          <w:rFonts w:ascii="Cambria" w:eastAsia="Cambria" w:hAnsi="Cambria" w:cs="Cambria"/>
          <w:sz w:val="24"/>
          <w:szCs w:val="24"/>
        </w:rPr>
      </w:pPr>
      <w:r w:rsidRPr="005D4A0A">
        <w:rPr>
          <w:rFonts w:ascii="Arial" w:eastAsia="Cambria" w:hAnsi="Arial" w:cs="Arial"/>
        </w:rPr>
        <w:t xml:space="preserve">SIRJUM: El Municipio cuenta con el Sistema Individual para el Retiro y Jubilación Municipal, para hacer frente al pago de pensiones y jubilaciones, el cual procura que se cuente con los recursos económicos para financiar las obligaciones laborales. Existen recursos constituidos por aportaciones del trabajador y del Municipio establecidos en un Fideicomiso de inversión y administración </w:t>
      </w:r>
      <w:r w:rsidR="00184BC1" w:rsidRPr="005D4A0A">
        <w:rPr>
          <w:rFonts w:ascii="Arial" w:eastAsia="Cambria" w:hAnsi="Arial" w:cs="Arial"/>
        </w:rPr>
        <w:t>con el Banco Nacional de México desde el</w:t>
      </w:r>
      <w:r w:rsidR="009A03E2" w:rsidRPr="005D4A0A">
        <w:rPr>
          <w:rFonts w:ascii="Arial" w:eastAsia="Cambria" w:hAnsi="Arial" w:cs="Arial"/>
        </w:rPr>
        <w:t xml:space="preserve"> 15 de Julio 2002. </w:t>
      </w:r>
      <w:r w:rsidR="007658D6" w:rsidRPr="005D4A0A">
        <w:rPr>
          <w:rFonts w:ascii="Arial" w:eastAsia="Cambria" w:hAnsi="Arial" w:cs="Arial"/>
        </w:rPr>
        <w:t>A partir del 15 de Julio del 202</w:t>
      </w:r>
      <w:r w:rsidR="00965A39" w:rsidRPr="005D4A0A">
        <w:rPr>
          <w:rFonts w:ascii="Arial" w:eastAsia="Cambria" w:hAnsi="Arial" w:cs="Arial"/>
        </w:rPr>
        <w:t xml:space="preserve">1 se transfiere a </w:t>
      </w:r>
      <w:proofErr w:type="spellStart"/>
      <w:r w:rsidR="00965A39" w:rsidRPr="005D4A0A">
        <w:rPr>
          <w:rFonts w:ascii="Arial" w:eastAsia="Cambria" w:hAnsi="Arial" w:cs="Arial"/>
        </w:rPr>
        <w:t>Bursametrica</w:t>
      </w:r>
      <w:proofErr w:type="spellEnd"/>
      <w:r w:rsidR="00965A39" w:rsidRPr="005D4A0A">
        <w:rPr>
          <w:rFonts w:ascii="Arial" w:eastAsia="Cambria" w:hAnsi="Arial" w:cs="Arial"/>
        </w:rPr>
        <w:t xml:space="preserve"> C</w:t>
      </w:r>
      <w:r w:rsidR="007658D6" w:rsidRPr="005D4A0A">
        <w:rPr>
          <w:rFonts w:ascii="Arial" w:eastAsia="Cambria" w:hAnsi="Arial" w:cs="Arial"/>
        </w:rPr>
        <w:t>a</w:t>
      </w:r>
      <w:r w:rsidR="00B814C8" w:rsidRPr="005D4A0A">
        <w:rPr>
          <w:rFonts w:ascii="Arial" w:eastAsia="Cambria" w:hAnsi="Arial" w:cs="Arial"/>
        </w:rPr>
        <w:t>sa de B</w:t>
      </w:r>
      <w:r w:rsidR="006C1C11" w:rsidRPr="005D4A0A">
        <w:rPr>
          <w:rFonts w:ascii="Arial" w:eastAsia="Cambria" w:hAnsi="Arial" w:cs="Arial"/>
        </w:rPr>
        <w:t>olsa, S.A</w:t>
      </w:r>
      <w:r w:rsidR="007658D6" w:rsidRPr="005D4A0A">
        <w:rPr>
          <w:rFonts w:ascii="Arial" w:eastAsia="Cambria" w:hAnsi="Arial" w:cs="Arial"/>
        </w:rPr>
        <w:t xml:space="preserve"> de C.V, teniendo c</w:t>
      </w:r>
      <w:r w:rsidR="009A03E2" w:rsidRPr="005D4A0A">
        <w:rPr>
          <w:rFonts w:ascii="Arial" w:eastAsia="Cambria" w:hAnsi="Arial" w:cs="Arial"/>
        </w:rPr>
        <w:t>omo intermediario al Banco HSBC con número de contrato F-1045</w:t>
      </w:r>
    </w:p>
    <w:p w14:paraId="291471E3" w14:textId="77777777" w:rsidR="005D4A0A" w:rsidRPr="005D4A0A" w:rsidRDefault="005D4A0A" w:rsidP="005D4A0A">
      <w:pPr>
        <w:spacing w:after="0" w:line="276" w:lineRule="auto"/>
        <w:ind w:left="426"/>
        <w:jc w:val="both"/>
        <w:rPr>
          <w:rFonts w:ascii="Cambria" w:eastAsia="Cambria" w:hAnsi="Cambria" w:cs="Cambria"/>
          <w:sz w:val="24"/>
          <w:szCs w:val="24"/>
        </w:rPr>
      </w:pPr>
    </w:p>
    <w:p w14:paraId="78F5E1E8" w14:textId="77777777" w:rsidR="00BD54DE" w:rsidRDefault="00724CA5" w:rsidP="00BD54DE">
      <w:pPr>
        <w:tabs>
          <w:tab w:val="left" w:pos="567"/>
          <w:tab w:val="left" w:pos="851"/>
          <w:tab w:val="left" w:pos="1134"/>
          <w:tab w:val="left" w:pos="8222"/>
        </w:tabs>
        <w:ind w:left="426"/>
        <w:rPr>
          <w:rFonts w:ascii="Cambria" w:eastAsia="Cambria" w:hAnsi="Cambria" w:cs="Cambria"/>
          <w:b/>
          <w:sz w:val="24"/>
          <w:szCs w:val="24"/>
        </w:rPr>
      </w:pPr>
      <w:r w:rsidRPr="00186D19">
        <w:rPr>
          <w:rFonts w:ascii="Cambria" w:eastAsia="Cambria" w:hAnsi="Cambria" w:cs="Cambria"/>
          <w:b/>
          <w:sz w:val="24"/>
          <w:szCs w:val="24"/>
        </w:rPr>
        <w:t xml:space="preserve">10. Reporte de la Recaudación. </w:t>
      </w:r>
    </w:p>
    <w:p w14:paraId="0BE877E5" w14:textId="6C69D1AC" w:rsidR="009C0AAC" w:rsidRDefault="0002186D" w:rsidP="009C0AAC">
      <w:pPr>
        <w:tabs>
          <w:tab w:val="left" w:pos="567"/>
          <w:tab w:val="left" w:pos="851"/>
          <w:tab w:val="left" w:pos="1134"/>
          <w:tab w:val="left" w:pos="8222"/>
        </w:tabs>
        <w:ind w:left="426"/>
        <w:jc w:val="center"/>
        <w:rPr>
          <w:rFonts w:ascii="Cambria" w:eastAsia="Cambria" w:hAnsi="Cambria" w:cs="Cambria"/>
          <w:b/>
          <w:sz w:val="24"/>
          <w:szCs w:val="24"/>
        </w:rPr>
      </w:pPr>
      <w:r w:rsidRPr="0002186D">
        <w:rPr>
          <w:noProof/>
          <w:lang w:eastAsia="es-MX"/>
        </w:rPr>
        <w:lastRenderedPageBreak/>
        <w:drawing>
          <wp:inline distT="0" distB="0" distL="0" distR="0" wp14:anchorId="0B9B1001" wp14:editId="1BE0114C">
            <wp:extent cx="4963370" cy="4488872"/>
            <wp:effectExtent l="0" t="0" r="8890" b="698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71724" cy="4496428"/>
                    </a:xfrm>
                    <a:prstGeom prst="rect">
                      <a:avLst/>
                    </a:prstGeom>
                    <a:noFill/>
                    <a:ln>
                      <a:noFill/>
                    </a:ln>
                  </pic:spPr>
                </pic:pic>
              </a:graphicData>
            </a:graphic>
          </wp:inline>
        </w:drawing>
      </w:r>
    </w:p>
    <w:p w14:paraId="704C5458" w14:textId="66E02CB6" w:rsidR="008E2AF8" w:rsidRDefault="00964D10" w:rsidP="008E2AF8">
      <w:pPr>
        <w:ind w:left="426"/>
        <w:jc w:val="center"/>
        <w:rPr>
          <w:rFonts w:ascii="Cambria" w:eastAsia="Cambria" w:hAnsi="Cambria" w:cs="Cambria"/>
          <w:b/>
          <w:sz w:val="24"/>
          <w:szCs w:val="24"/>
        </w:rPr>
      </w:pPr>
      <w:r w:rsidRPr="00964D10">
        <w:rPr>
          <w:noProof/>
          <w:lang w:eastAsia="es-MX"/>
        </w:rPr>
        <w:drawing>
          <wp:inline distT="0" distB="0" distL="0" distR="0" wp14:anchorId="1C05D23B" wp14:editId="0509DFED">
            <wp:extent cx="4963795" cy="2482215"/>
            <wp:effectExtent l="0" t="0" r="8255"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63795" cy="2482215"/>
                    </a:xfrm>
                    <a:prstGeom prst="rect">
                      <a:avLst/>
                    </a:prstGeom>
                    <a:noFill/>
                    <a:ln>
                      <a:noFill/>
                    </a:ln>
                  </pic:spPr>
                </pic:pic>
              </a:graphicData>
            </a:graphic>
          </wp:inline>
        </w:drawing>
      </w:r>
    </w:p>
    <w:p w14:paraId="3B4CB11A" w14:textId="77777777" w:rsidR="00FE402B" w:rsidRDefault="00FE402B" w:rsidP="008E2AF8">
      <w:pPr>
        <w:ind w:left="426"/>
        <w:jc w:val="center"/>
        <w:rPr>
          <w:rFonts w:ascii="Cambria" w:eastAsia="Cambria" w:hAnsi="Cambria" w:cs="Cambria"/>
          <w:b/>
          <w:sz w:val="24"/>
          <w:szCs w:val="24"/>
        </w:rPr>
      </w:pPr>
    </w:p>
    <w:p w14:paraId="0832F31D" w14:textId="77777777" w:rsidR="00724CA5" w:rsidRPr="00A002F3" w:rsidRDefault="00724CA5" w:rsidP="00724CA5">
      <w:pPr>
        <w:ind w:left="426"/>
        <w:jc w:val="both"/>
        <w:rPr>
          <w:rFonts w:ascii="Cambria" w:eastAsia="Cambria" w:hAnsi="Cambria" w:cs="Cambria"/>
          <w:b/>
          <w:sz w:val="24"/>
          <w:szCs w:val="24"/>
        </w:rPr>
      </w:pPr>
      <w:r w:rsidRPr="00A002F3">
        <w:rPr>
          <w:rFonts w:ascii="Cambria" w:eastAsia="Cambria" w:hAnsi="Cambria" w:cs="Cambria"/>
          <w:b/>
          <w:sz w:val="24"/>
          <w:szCs w:val="24"/>
        </w:rPr>
        <w:lastRenderedPageBreak/>
        <w:t>11. Información sobre la Deuda y el Reporte Analítico de la Deuda.</w:t>
      </w:r>
    </w:p>
    <w:p w14:paraId="25A549A6" w14:textId="77777777" w:rsidR="00724CA5" w:rsidRPr="003B7B5F" w:rsidRDefault="00724CA5" w:rsidP="00241362">
      <w:pPr>
        <w:spacing w:line="360" w:lineRule="auto"/>
        <w:ind w:left="426"/>
        <w:jc w:val="both"/>
        <w:rPr>
          <w:rFonts w:ascii="Cambria" w:eastAsia="Cambria" w:hAnsi="Cambria" w:cs="Cambria"/>
          <w:sz w:val="24"/>
          <w:szCs w:val="24"/>
        </w:rPr>
      </w:pPr>
      <w:r w:rsidRPr="00A002F3">
        <w:rPr>
          <w:rFonts w:ascii="Cambria" w:eastAsia="Cambria" w:hAnsi="Cambria" w:cs="Cambria"/>
          <w:sz w:val="24"/>
          <w:szCs w:val="24"/>
        </w:rPr>
        <w:t>Actualmente el Municipio de Mérida no cuenta con algún Financiamiento contratado con Instituciones Bancarias u Otros.</w:t>
      </w:r>
    </w:p>
    <w:p w14:paraId="51071BED" w14:textId="77777777" w:rsidR="00724CA5" w:rsidRPr="00A002F3" w:rsidRDefault="00724CA5" w:rsidP="00724CA5">
      <w:pPr>
        <w:ind w:left="426"/>
        <w:jc w:val="both"/>
        <w:rPr>
          <w:rFonts w:ascii="Cambria" w:eastAsia="Cambria" w:hAnsi="Cambria" w:cs="Cambria"/>
          <w:b/>
          <w:sz w:val="24"/>
          <w:szCs w:val="24"/>
        </w:rPr>
      </w:pPr>
      <w:r w:rsidRPr="00A002F3">
        <w:rPr>
          <w:rFonts w:ascii="Cambria" w:eastAsia="Cambria" w:hAnsi="Cambria" w:cs="Cambria"/>
          <w:b/>
          <w:sz w:val="24"/>
          <w:szCs w:val="24"/>
        </w:rPr>
        <w:t>12. Calificaciones otorgadas.</w:t>
      </w:r>
    </w:p>
    <w:p w14:paraId="18C73CE6" w14:textId="77777777" w:rsidR="00724CA5" w:rsidRDefault="00724CA5" w:rsidP="00241362">
      <w:pPr>
        <w:autoSpaceDE w:val="0"/>
        <w:autoSpaceDN w:val="0"/>
        <w:adjustRightInd w:val="0"/>
        <w:spacing w:after="0" w:line="480" w:lineRule="auto"/>
        <w:ind w:left="426"/>
        <w:jc w:val="both"/>
        <w:rPr>
          <w:rFonts w:ascii="Cambria" w:hAnsi="Cambria"/>
          <w:sz w:val="24"/>
          <w:szCs w:val="24"/>
        </w:rPr>
      </w:pPr>
      <w:r w:rsidRPr="00A002F3">
        <w:rPr>
          <w:rFonts w:ascii="Cambria" w:hAnsi="Cambria"/>
          <w:sz w:val="24"/>
          <w:szCs w:val="24"/>
        </w:rPr>
        <w:t>Calificación Compañías Calificadoras: La última calificación crediticia otorgada al Municipio de Mérida por las compañías calificadoras, se describe a continuación:</w:t>
      </w:r>
    </w:p>
    <w:p w14:paraId="2E780950" w14:textId="77777777" w:rsidR="00013263" w:rsidRDefault="00013263" w:rsidP="00241362">
      <w:pPr>
        <w:autoSpaceDE w:val="0"/>
        <w:autoSpaceDN w:val="0"/>
        <w:adjustRightInd w:val="0"/>
        <w:spacing w:after="0" w:line="480" w:lineRule="auto"/>
        <w:ind w:left="426"/>
        <w:jc w:val="both"/>
        <w:rPr>
          <w:rFonts w:ascii="Cambria" w:hAnsi="Cambria"/>
          <w:sz w:val="24"/>
          <w:szCs w:val="24"/>
        </w:rPr>
      </w:pPr>
    </w:p>
    <w:p w14:paraId="4E0A2006" w14:textId="41202300" w:rsidR="00724CA5" w:rsidRDefault="00724CA5" w:rsidP="000F068C">
      <w:pPr>
        <w:autoSpaceDE w:val="0"/>
        <w:autoSpaceDN w:val="0"/>
        <w:adjustRightInd w:val="0"/>
        <w:spacing w:after="0" w:line="240" w:lineRule="auto"/>
        <w:ind w:left="426"/>
        <w:jc w:val="center"/>
        <w:rPr>
          <w:rFonts w:ascii="Cambria" w:hAnsi="Cambria"/>
          <w:sz w:val="24"/>
          <w:szCs w:val="24"/>
        </w:rPr>
      </w:pPr>
    </w:p>
    <w:p w14:paraId="757B5779" w14:textId="66A6C259" w:rsidR="000F068C" w:rsidRDefault="00964D10" w:rsidP="000F068C">
      <w:pPr>
        <w:autoSpaceDE w:val="0"/>
        <w:autoSpaceDN w:val="0"/>
        <w:adjustRightInd w:val="0"/>
        <w:spacing w:after="0" w:line="240" w:lineRule="auto"/>
        <w:ind w:left="426"/>
        <w:jc w:val="center"/>
        <w:rPr>
          <w:rFonts w:ascii="Cambria" w:hAnsi="Cambria"/>
          <w:sz w:val="24"/>
          <w:szCs w:val="24"/>
        </w:rPr>
      </w:pPr>
      <w:r w:rsidRPr="00964D10">
        <w:rPr>
          <w:noProof/>
          <w:lang w:eastAsia="es-MX"/>
        </w:rPr>
        <w:drawing>
          <wp:inline distT="0" distB="0" distL="0" distR="0" wp14:anchorId="75025F5C" wp14:editId="7DA22D02">
            <wp:extent cx="5482795" cy="961902"/>
            <wp:effectExtent l="0" t="0" r="381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98860" cy="964721"/>
                    </a:xfrm>
                    <a:prstGeom prst="rect">
                      <a:avLst/>
                    </a:prstGeom>
                    <a:noFill/>
                    <a:ln>
                      <a:noFill/>
                    </a:ln>
                  </pic:spPr>
                </pic:pic>
              </a:graphicData>
            </a:graphic>
          </wp:inline>
        </w:drawing>
      </w:r>
    </w:p>
    <w:p w14:paraId="17D7C03C" w14:textId="77777777" w:rsidR="00EF50FC" w:rsidRDefault="00EF50FC" w:rsidP="000F068C">
      <w:pPr>
        <w:autoSpaceDE w:val="0"/>
        <w:autoSpaceDN w:val="0"/>
        <w:adjustRightInd w:val="0"/>
        <w:spacing w:after="0" w:line="240" w:lineRule="auto"/>
        <w:ind w:left="426"/>
        <w:jc w:val="center"/>
        <w:rPr>
          <w:rFonts w:ascii="Cambria" w:hAnsi="Cambria"/>
          <w:sz w:val="24"/>
          <w:szCs w:val="24"/>
        </w:rPr>
      </w:pPr>
    </w:p>
    <w:p w14:paraId="4AF67A43" w14:textId="77777777" w:rsidR="00EF50FC" w:rsidRDefault="00EF50FC" w:rsidP="000F068C">
      <w:pPr>
        <w:autoSpaceDE w:val="0"/>
        <w:autoSpaceDN w:val="0"/>
        <w:adjustRightInd w:val="0"/>
        <w:spacing w:after="0" w:line="240" w:lineRule="auto"/>
        <w:ind w:left="426"/>
        <w:jc w:val="center"/>
        <w:rPr>
          <w:rFonts w:ascii="Cambria" w:hAnsi="Cambria"/>
          <w:sz w:val="24"/>
          <w:szCs w:val="24"/>
        </w:rPr>
      </w:pPr>
    </w:p>
    <w:p w14:paraId="6CBD4C94" w14:textId="77777777" w:rsidR="00EF50FC" w:rsidRDefault="00EF50FC" w:rsidP="000F068C">
      <w:pPr>
        <w:autoSpaceDE w:val="0"/>
        <w:autoSpaceDN w:val="0"/>
        <w:adjustRightInd w:val="0"/>
        <w:spacing w:after="0" w:line="240" w:lineRule="auto"/>
        <w:ind w:left="426"/>
        <w:jc w:val="center"/>
        <w:rPr>
          <w:rFonts w:ascii="Cambria" w:hAnsi="Cambria"/>
          <w:sz w:val="24"/>
          <w:szCs w:val="24"/>
        </w:rPr>
      </w:pPr>
    </w:p>
    <w:p w14:paraId="352FCDB7" w14:textId="77777777" w:rsidR="00A352FB" w:rsidRDefault="00A352FB" w:rsidP="000F068C">
      <w:pPr>
        <w:autoSpaceDE w:val="0"/>
        <w:autoSpaceDN w:val="0"/>
        <w:adjustRightInd w:val="0"/>
        <w:spacing w:after="0" w:line="240" w:lineRule="auto"/>
        <w:ind w:left="426"/>
        <w:jc w:val="center"/>
        <w:rPr>
          <w:rFonts w:ascii="Cambria" w:hAnsi="Cambria"/>
          <w:sz w:val="24"/>
          <w:szCs w:val="24"/>
        </w:rPr>
      </w:pPr>
    </w:p>
    <w:p w14:paraId="05F3BA61" w14:textId="77777777" w:rsidR="00A352FB" w:rsidRDefault="00A352FB" w:rsidP="000F068C">
      <w:pPr>
        <w:autoSpaceDE w:val="0"/>
        <w:autoSpaceDN w:val="0"/>
        <w:adjustRightInd w:val="0"/>
        <w:spacing w:after="0" w:line="240" w:lineRule="auto"/>
        <w:ind w:left="426"/>
        <w:jc w:val="center"/>
        <w:rPr>
          <w:rFonts w:ascii="Cambria" w:hAnsi="Cambria"/>
          <w:sz w:val="24"/>
          <w:szCs w:val="24"/>
        </w:rPr>
      </w:pPr>
    </w:p>
    <w:p w14:paraId="7241C6FE" w14:textId="77777777" w:rsidR="00EF50FC" w:rsidRPr="000F068C" w:rsidRDefault="00EF50FC" w:rsidP="000F068C">
      <w:pPr>
        <w:autoSpaceDE w:val="0"/>
        <w:autoSpaceDN w:val="0"/>
        <w:adjustRightInd w:val="0"/>
        <w:spacing w:after="0" w:line="240" w:lineRule="auto"/>
        <w:ind w:left="426"/>
        <w:jc w:val="center"/>
        <w:rPr>
          <w:rFonts w:ascii="Cambria" w:hAnsi="Cambria"/>
          <w:sz w:val="24"/>
          <w:szCs w:val="24"/>
        </w:rPr>
      </w:pPr>
    </w:p>
    <w:p w14:paraId="607C0179" w14:textId="77777777" w:rsidR="00724CA5" w:rsidRPr="00A002F3" w:rsidRDefault="00724CA5" w:rsidP="00724CA5">
      <w:pPr>
        <w:ind w:left="426"/>
        <w:jc w:val="both"/>
        <w:rPr>
          <w:rFonts w:ascii="Cambria" w:eastAsia="Cambria" w:hAnsi="Cambria" w:cs="Cambria"/>
          <w:b/>
          <w:sz w:val="24"/>
          <w:szCs w:val="24"/>
        </w:rPr>
      </w:pPr>
      <w:r w:rsidRPr="00A002F3">
        <w:rPr>
          <w:rFonts w:ascii="Cambria" w:eastAsia="Cambria" w:hAnsi="Cambria" w:cs="Cambria"/>
          <w:b/>
          <w:sz w:val="24"/>
          <w:szCs w:val="24"/>
        </w:rPr>
        <w:t xml:space="preserve">13. Proceso de Mejora </w:t>
      </w:r>
    </w:p>
    <w:p w14:paraId="10515AE6" w14:textId="77777777" w:rsidR="000F068C" w:rsidRDefault="00724CA5" w:rsidP="000F068C">
      <w:pPr>
        <w:spacing w:line="360" w:lineRule="auto"/>
        <w:ind w:left="426"/>
        <w:jc w:val="both"/>
        <w:rPr>
          <w:rFonts w:ascii="Arial" w:eastAsia="Cambria" w:hAnsi="Arial" w:cs="Arial"/>
        </w:rPr>
      </w:pPr>
      <w:r w:rsidRPr="00241362">
        <w:rPr>
          <w:rFonts w:ascii="Arial" w:eastAsia="Cambria" w:hAnsi="Arial" w:cs="Arial"/>
        </w:rPr>
        <w:t>El Ente se encuentra en constante actualización e implementación de la armonización contable establecida en la LGCG.</w:t>
      </w:r>
    </w:p>
    <w:p w14:paraId="1C18D82A" w14:textId="77777777" w:rsidR="00724CA5" w:rsidRPr="000F068C" w:rsidRDefault="00724CA5" w:rsidP="000F068C">
      <w:pPr>
        <w:spacing w:line="360" w:lineRule="auto"/>
        <w:ind w:left="426"/>
        <w:jc w:val="both"/>
        <w:rPr>
          <w:rFonts w:ascii="Arial" w:eastAsia="Cambria" w:hAnsi="Arial" w:cs="Arial"/>
        </w:rPr>
      </w:pPr>
      <w:r w:rsidRPr="00A002F3">
        <w:rPr>
          <w:rFonts w:ascii="Cambria" w:eastAsia="Cambria" w:hAnsi="Cambria" w:cs="Cambria"/>
          <w:b/>
          <w:sz w:val="24"/>
          <w:szCs w:val="24"/>
        </w:rPr>
        <w:t>14. Partes Relacionadas</w:t>
      </w:r>
    </w:p>
    <w:p w14:paraId="002975FD" w14:textId="263365E4" w:rsidR="00724CA5" w:rsidRDefault="00724CA5" w:rsidP="000F068C">
      <w:pPr>
        <w:tabs>
          <w:tab w:val="left" w:pos="426"/>
        </w:tabs>
        <w:spacing w:line="360" w:lineRule="auto"/>
        <w:ind w:left="426"/>
        <w:jc w:val="both"/>
        <w:rPr>
          <w:rFonts w:ascii="Arial" w:eastAsia="Cambria" w:hAnsi="Arial" w:cs="Arial"/>
        </w:rPr>
      </w:pPr>
      <w:r w:rsidRPr="00241362">
        <w:rPr>
          <w:rFonts w:ascii="Arial" w:eastAsia="Cambria" w:hAnsi="Arial" w:cs="Arial"/>
        </w:rPr>
        <w:t>Con el propósito de dar cumplimiento a</w:t>
      </w:r>
      <w:r w:rsidR="003718B0" w:rsidRPr="00241362">
        <w:rPr>
          <w:rFonts w:ascii="Arial" w:eastAsia="Cambria" w:hAnsi="Arial" w:cs="Arial"/>
        </w:rPr>
        <w:t xml:space="preserve"> lo dispuesto por el artículo 49</w:t>
      </w:r>
      <w:r w:rsidRPr="00241362">
        <w:rPr>
          <w:rFonts w:ascii="Arial" w:eastAsia="Cambria" w:hAnsi="Arial" w:cs="Arial"/>
        </w:rPr>
        <w:t xml:space="preserve">, fracción V de la Ley General de Contabilidad Gubernamental, se manifiesta </w:t>
      </w:r>
      <w:r w:rsidR="003718B0" w:rsidRPr="00241362">
        <w:rPr>
          <w:rFonts w:ascii="Arial" w:eastAsia="Cambria" w:hAnsi="Arial" w:cs="Arial"/>
        </w:rPr>
        <w:t xml:space="preserve">que en el caso del </w:t>
      </w:r>
      <w:r w:rsidR="00FE402B" w:rsidRPr="00241362">
        <w:rPr>
          <w:rFonts w:ascii="Arial" w:eastAsia="Cambria" w:hAnsi="Arial" w:cs="Arial"/>
        </w:rPr>
        <w:t>Municipio no existen</w:t>
      </w:r>
      <w:r w:rsidR="00B7680B" w:rsidRPr="00241362">
        <w:rPr>
          <w:rFonts w:ascii="Arial" w:eastAsia="Cambria" w:hAnsi="Arial" w:cs="Arial"/>
        </w:rPr>
        <w:t xml:space="preserve"> partes relacionadas </w:t>
      </w:r>
      <w:r w:rsidRPr="00241362">
        <w:rPr>
          <w:rFonts w:ascii="Arial" w:eastAsia="Cambria" w:hAnsi="Arial" w:cs="Arial"/>
        </w:rPr>
        <w:t xml:space="preserve">que </w:t>
      </w:r>
      <w:r w:rsidR="00B7680B" w:rsidRPr="00241362">
        <w:rPr>
          <w:rFonts w:ascii="Arial" w:eastAsia="Cambria" w:hAnsi="Arial" w:cs="Arial"/>
        </w:rPr>
        <w:t xml:space="preserve">pudieran </w:t>
      </w:r>
      <w:r w:rsidRPr="00241362">
        <w:rPr>
          <w:rFonts w:ascii="Arial" w:eastAsia="Cambria" w:hAnsi="Arial" w:cs="Arial"/>
        </w:rPr>
        <w:t>ejercen influencia significativa sobre la toma de decisiones financieras y operativas.</w:t>
      </w:r>
    </w:p>
    <w:p w14:paraId="1CD8B4C5" w14:textId="77777777" w:rsidR="005970F1" w:rsidRPr="00241362" w:rsidRDefault="005970F1" w:rsidP="000F068C">
      <w:pPr>
        <w:tabs>
          <w:tab w:val="left" w:pos="426"/>
        </w:tabs>
        <w:spacing w:line="360" w:lineRule="auto"/>
        <w:ind w:left="426"/>
        <w:jc w:val="both"/>
        <w:rPr>
          <w:rFonts w:ascii="Arial" w:eastAsia="Cambria" w:hAnsi="Arial" w:cs="Arial"/>
        </w:rPr>
      </w:pPr>
    </w:p>
    <w:p w14:paraId="51A01D43" w14:textId="409BB458" w:rsidR="00724CA5" w:rsidRDefault="00724CA5" w:rsidP="000F068C">
      <w:pPr>
        <w:spacing w:line="240" w:lineRule="auto"/>
        <w:ind w:left="426"/>
        <w:jc w:val="both"/>
        <w:rPr>
          <w:rFonts w:ascii="Cambria" w:eastAsia="Cambria" w:hAnsi="Cambria" w:cs="Cambria"/>
          <w:b/>
          <w:sz w:val="24"/>
          <w:szCs w:val="24"/>
        </w:rPr>
      </w:pPr>
      <w:r w:rsidRPr="00A002F3">
        <w:rPr>
          <w:rFonts w:ascii="Cambria" w:eastAsia="Cambria" w:hAnsi="Cambria" w:cs="Cambria"/>
          <w:b/>
          <w:sz w:val="24"/>
          <w:szCs w:val="24"/>
        </w:rPr>
        <w:lastRenderedPageBreak/>
        <w:t>15. Compromisos y Contingencias.</w:t>
      </w:r>
    </w:p>
    <w:p w14:paraId="30627873" w14:textId="77777777" w:rsidR="005970F1" w:rsidRDefault="005970F1" w:rsidP="000F068C">
      <w:pPr>
        <w:spacing w:line="240" w:lineRule="auto"/>
        <w:ind w:left="426"/>
        <w:jc w:val="both"/>
        <w:rPr>
          <w:rFonts w:ascii="Cambria" w:eastAsia="Cambria" w:hAnsi="Cambria" w:cs="Cambria"/>
          <w:b/>
          <w:sz w:val="24"/>
          <w:szCs w:val="24"/>
        </w:rPr>
      </w:pPr>
    </w:p>
    <w:p w14:paraId="068F6F95" w14:textId="77777777" w:rsidR="00724CA5" w:rsidRPr="0014680C" w:rsidRDefault="00724CA5" w:rsidP="000F068C">
      <w:pPr>
        <w:spacing w:line="240" w:lineRule="auto"/>
        <w:ind w:left="426"/>
        <w:jc w:val="both"/>
        <w:rPr>
          <w:rFonts w:ascii="Cambria" w:eastAsia="Cambria" w:hAnsi="Cambria" w:cs="Cambria"/>
          <w:b/>
          <w:sz w:val="24"/>
          <w:szCs w:val="24"/>
        </w:rPr>
      </w:pPr>
      <w:r w:rsidRPr="00A002F3">
        <w:rPr>
          <w:rFonts w:ascii="Cambria" w:eastAsia="Cambria" w:hAnsi="Cambria" w:cs="Cambria"/>
          <w:b/>
          <w:sz w:val="24"/>
          <w:szCs w:val="24"/>
        </w:rPr>
        <w:t>15.1 Seguros y Coberturas</w:t>
      </w:r>
    </w:p>
    <w:p w14:paraId="47B859A1" w14:textId="4CB39D82" w:rsidR="00724CA5" w:rsidRDefault="00724CA5" w:rsidP="000F068C">
      <w:pPr>
        <w:ind w:left="426"/>
        <w:jc w:val="both"/>
        <w:rPr>
          <w:rFonts w:ascii="Cambria" w:eastAsia="Cambria" w:hAnsi="Cambria" w:cs="Cambria"/>
          <w:sz w:val="24"/>
          <w:szCs w:val="24"/>
        </w:rPr>
      </w:pPr>
      <w:r w:rsidRPr="00A002F3">
        <w:rPr>
          <w:rFonts w:ascii="Cambria" w:eastAsia="Cambria" w:hAnsi="Cambria" w:cs="Cambria"/>
          <w:sz w:val="24"/>
          <w:szCs w:val="24"/>
        </w:rPr>
        <w:t>Existe Seguros de cobertura de vehículos y de vida (laboral).</w:t>
      </w:r>
    </w:p>
    <w:p w14:paraId="21AE53E1" w14:textId="77777777" w:rsidR="005970F1" w:rsidRDefault="005970F1" w:rsidP="000F068C">
      <w:pPr>
        <w:ind w:left="426"/>
        <w:jc w:val="both"/>
        <w:rPr>
          <w:rFonts w:ascii="Cambria" w:eastAsia="Cambria" w:hAnsi="Cambria" w:cs="Cambria"/>
          <w:sz w:val="24"/>
          <w:szCs w:val="24"/>
        </w:rPr>
      </w:pPr>
    </w:p>
    <w:p w14:paraId="06535FAA" w14:textId="77777777" w:rsidR="00724CA5" w:rsidRPr="00347598" w:rsidRDefault="00724CA5" w:rsidP="000F068C">
      <w:pPr>
        <w:ind w:left="426"/>
        <w:jc w:val="both"/>
        <w:rPr>
          <w:rFonts w:ascii="Cambria" w:eastAsia="Cambria" w:hAnsi="Cambria" w:cs="Cambria"/>
          <w:b/>
          <w:color w:val="000000" w:themeColor="text1"/>
          <w:sz w:val="24"/>
          <w:szCs w:val="24"/>
        </w:rPr>
      </w:pPr>
      <w:r w:rsidRPr="00347598">
        <w:rPr>
          <w:rFonts w:ascii="Cambria" w:eastAsia="Cambria" w:hAnsi="Cambria" w:cs="Cambria"/>
          <w:b/>
          <w:color w:val="000000" w:themeColor="text1"/>
          <w:sz w:val="24"/>
          <w:szCs w:val="24"/>
        </w:rPr>
        <w:t xml:space="preserve">15.2 Informe sobre pasivos contingentes </w:t>
      </w:r>
      <w:r w:rsidR="000A6D78" w:rsidRPr="00347598">
        <w:rPr>
          <w:rFonts w:ascii="Cambria" w:eastAsia="Cambria" w:hAnsi="Cambria" w:cs="Cambria"/>
          <w:b/>
          <w:color w:val="000000" w:themeColor="text1"/>
          <w:sz w:val="24"/>
          <w:szCs w:val="24"/>
        </w:rPr>
        <w:t xml:space="preserve"> </w:t>
      </w:r>
    </w:p>
    <w:p w14:paraId="4789BEFF" w14:textId="37D49570" w:rsidR="00445A15" w:rsidRDefault="00B407EE" w:rsidP="000F068C">
      <w:pPr>
        <w:spacing w:line="360" w:lineRule="auto"/>
        <w:ind w:left="426"/>
        <w:jc w:val="both"/>
        <w:rPr>
          <w:rFonts w:ascii="Arial" w:hAnsi="Arial" w:cs="Arial"/>
          <w:lang w:eastAsia="es-ES"/>
        </w:rPr>
      </w:pPr>
      <w:r w:rsidRPr="00241362">
        <w:rPr>
          <w:rFonts w:ascii="Arial" w:hAnsi="Arial" w:cs="Arial"/>
          <w:lang w:eastAsia="es-ES"/>
        </w:rPr>
        <w:t>En</w:t>
      </w:r>
      <w:r>
        <w:rPr>
          <w:rFonts w:ascii="Arial" w:hAnsi="Arial" w:cs="Arial"/>
          <w:lang w:eastAsia="es-ES"/>
        </w:rPr>
        <w:t xml:space="preserve"> cumplimiento a lo dispuesto en el artículo 48 y con referencia al artículo 46, fracción I, inciso f), de la </w:t>
      </w:r>
      <w:r w:rsidRPr="00241362">
        <w:rPr>
          <w:rFonts w:ascii="Arial" w:hAnsi="Arial" w:cs="Arial"/>
          <w:lang w:eastAsia="es-ES"/>
        </w:rPr>
        <w:t xml:space="preserve">Ley General de Contabilidad Gubernamental, se informan los pasivos contingentes con que cuenta el Municipio de Mérida, los cuales no se encuentran registrados contablemente, debido a que las obligaciones o pérdidas relacionadas con contingencias se reconocen cuando es probable que sus efectos se materialicen y existan elementos razonables para su cuantificación. Si no existen estos elementos razonables, se incluye su revelación en forma cualitativa en las notas a los estados financieros. </w:t>
      </w:r>
      <w:r w:rsidR="00445A15" w:rsidRPr="00241362">
        <w:rPr>
          <w:rFonts w:ascii="Arial" w:hAnsi="Arial" w:cs="Arial"/>
          <w:lang w:eastAsia="es-ES"/>
        </w:rPr>
        <w:t xml:space="preserve">  </w:t>
      </w:r>
    </w:p>
    <w:p w14:paraId="7175B417" w14:textId="4B8ABE5B" w:rsidR="005970F1" w:rsidRDefault="005970F1" w:rsidP="000F068C">
      <w:pPr>
        <w:spacing w:line="360" w:lineRule="auto"/>
        <w:ind w:left="426"/>
        <w:jc w:val="both"/>
        <w:rPr>
          <w:rFonts w:ascii="Arial" w:hAnsi="Arial" w:cs="Arial"/>
          <w:lang w:eastAsia="es-ES"/>
        </w:rPr>
      </w:pPr>
    </w:p>
    <w:p w14:paraId="24B58765" w14:textId="77777777" w:rsidR="005970F1" w:rsidRPr="00241362" w:rsidRDefault="005970F1" w:rsidP="000F068C">
      <w:pPr>
        <w:spacing w:line="360" w:lineRule="auto"/>
        <w:ind w:left="426"/>
        <w:jc w:val="both"/>
        <w:rPr>
          <w:rFonts w:ascii="Arial" w:hAnsi="Arial" w:cs="Arial"/>
          <w:lang w:eastAsia="es-ES"/>
        </w:rPr>
      </w:pPr>
    </w:p>
    <w:p w14:paraId="0A7105FF" w14:textId="77777777" w:rsidR="00445A15" w:rsidRPr="00241362" w:rsidRDefault="00445A15" w:rsidP="000F068C">
      <w:pPr>
        <w:spacing w:before="82" w:line="360" w:lineRule="auto"/>
        <w:ind w:left="426"/>
        <w:jc w:val="both"/>
        <w:rPr>
          <w:rFonts w:ascii="Arial" w:hAnsi="Arial" w:cs="Arial"/>
          <w:lang w:eastAsia="es-ES"/>
        </w:rPr>
      </w:pPr>
      <w:r w:rsidRPr="00241362">
        <w:rPr>
          <w:rFonts w:ascii="Arial" w:hAnsi="Arial" w:cs="Arial"/>
          <w:lang w:eastAsia="es-ES"/>
        </w:rPr>
        <w:t>Lo anterior, de conformidad con lo establecido</w:t>
      </w:r>
      <w:r w:rsidR="00A77E34">
        <w:rPr>
          <w:rFonts w:ascii="Arial" w:hAnsi="Arial" w:cs="Arial"/>
          <w:lang w:eastAsia="es-ES"/>
        </w:rPr>
        <w:t xml:space="preserve"> en el capítulo VII, numeral </w:t>
      </w:r>
      <w:r w:rsidR="00FF0305">
        <w:rPr>
          <w:rFonts w:ascii="Arial" w:hAnsi="Arial" w:cs="Arial"/>
          <w:lang w:eastAsia="es-ES"/>
        </w:rPr>
        <w:t>II</w:t>
      </w:r>
      <w:r w:rsidR="00A77E34">
        <w:rPr>
          <w:rFonts w:ascii="Arial" w:hAnsi="Arial" w:cs="Arial"/>
          <w:lang w:eastAsia="es-ES"/>
        </w:rPr>
        <w:t>, inciso h</w:t>
      </w:r>
      <w:r w:rsidRPr="00241362">
        <w:rPr>
          <w:rFonts w:ascii="Arial" w:hAnsi="Arial" w:cs="Arial"/>
          <w:lang w:eastAsia="es-ES"/>
        </w:rPr>
        <w:t xml:space="preserve">) del Manual de Contabilidad Gubernamental emitido por el CONAC, donde se establece en términos generales que: </w:t>
      </w:r>
    </w:p>
    <w:p w14:paraId="2CFFB472" w14:textId="13E6431C" w:rsidR="00445A15" w:rsidRDefault="00445A15" w:rsidP="000F068C">
      <w:pPr>
        <w:spacing w:before="81" w:line="360" w:lineRule="auto"/>
        <w:ind w:left="426"/>
        <w:jc w:val="both"/>
        <w:rPr>
          <w:rFonts w:ascii="Arial" w:hAnsi="Arial" w:cs="Arial"/>
          <w:lang w:eastAsia="es-ES"/>
        </w:rPr>
      </w:pPr>
      <w:r w:rsidRPr="00241362">
        <w:rPr>
          <w:rFonts w:ascii="Arial" w:hAnsi="Arial" w:cs="Arial"/>
          <w:lang w:eastAsia="es-ES"/>
        </w:rPr>
        <w:t xml:space="preserve">“Los pasivos contingentes son obligaciones que tienen su origen en hechos específicos e independientes del pasado que en el futuro pueden ocurrir o no y, de </w:t>
      </w:r>
      <w:r w:rsidR="00EB0D64" w:rsidRPr="00241362">
        <w:rPr>
          <w:rFonts w:ascii="Arial" w:hAnsi="Arial" w:cs="Arial"/>
          <w:lang w:eastAsia="es-ES"/>
        </w:rPr>
        <w:t xml:space="preserve">acuerdo con lo que acontezca, </w:t>
      </w:r>
      <w:r w:rsidR="00706DF9" w:rsidRPr="00241362">
        <w:rPr>
          <w:rFonts w:ascii="Arial" w:hAnsi="Arial" w:cs="Arial"/>
          <w:lang w:eastAsia="es-ES"/>
        </w:rPr>
        <w:t>desaparecen o se convierten</w:t>
      </w:r>
      <w:r w:rsidRPr="00241362">
        <w:rPr>
          <w:rFonts w:ascii="Arial" w:hAnsi="Arial" w:cs="Arial"/>
          <w:lang w:eastAsia="es-ES"/>
        </w:rPr>
        <w:t xml:space="preserve"> en pasivos </w:t>
      </w:r>
      <w:r w:rsidR="00964D10" w:rsidRPr="00241362">
        <w:rPr>
          <w:rFonts w:ascii="Arial" w:hAnsi="Arial" w:cs="Arial"/>
          <w:lang w:eastAsia="es-ES"/>
        </w:rPr>
        <w:t>reales,</w:t>
      </w:r>
      <w:r w:rsidRPr="00241362">
        <w:rPr>
          <w:rFonts w:ascii="Arial" w:hAnsi="Arial" w:cs="Arial"/>
          <w:lang w:eastAsia="es-ES"/>
        </w:rPr>
        <w:t xml:space="preserve"> por ejemplo, juicios, garantías, avales, costos de planes de pensiones, jubilaciones, etc</w:t>
      </w:r>
      <w:r w:rsidR="00734F0C">
        <w:rPr>
          <w:rFonts w:ascii="Arial" w:hAnsi="Arial" w:cs="Arial"/>
          <w:lang w:eastAsia="es-ES"/>
        </w:rPr>
        <w:t>.” los cuales se presentan en anexo aparte</w:t>
      </w:r>
      <w:r w:rsidR="00706DF9">
        <w:rPr>
          <w:rFonts w:ascii="Arial" w:hAnsi="Arial" w:cs="Arial"/>
          <w:lang w:eastAsia="es-ES"/>
        </w:rPr>
        <w:t>.</w:t>
      </w:r>
    </w:p>
    <w:p w14:paraId="68BA44B7" w14:textId="77777777" w:rsidR="00724CA5" w:rsidRDefault="00724CA5" w:rsidP="001F16C3">
      <w:pPr>
        <w:spacing w:line="360" w:lineRule="auto"/>
        <w:ind w:left="426"/>
        <w:jc w:val="both"/>
        <w:rPr>
          <w:rFonts w:ascii="Arial" w:hAnsi="Arial" w:cs="Arial"/>
          <w:lang w:eastAsia="es-ES"/>
        </w:rPr>
      </w:pPr>
      <w:r w:rsidRPr="001F16C3">
        <w:rPr>
          <w:rFonts w:ascii="Arial" w:hAnsi="Arial" w:cs="Arial"/>
          <w:lang w:eastAsia="es-ES"/>
        </w:rPr>
        <w:t>“Bajo protesta de decir verdad declaramos que los Estados Financieros y sus notas, son razonablemente correctos y son responsabilidad del emisor”.</w:t>
      </w:r>
    </w:p>
    <w:p w14:paraId="53D2C5E3" w14:textId="77777777" w:rsidR="00430081" w:rsidRDefault="00430081" w:rsidP="00430081">
      <w:pPr>
        <w:jc w:val="both"/>
        <w:rPr>
          <w:rFonts w:ascii="Arial" w:hAnsi="Arial" w:cs="Arial"/>
          <w:lang w:eastAsia="es-ES"/>
        </w:rPr>
      </w:pPr>
    </w:p>
    <w:p w14:paraId="32AE3854" w14:textId="1D8D6119" w:rsidR="00CF6A99" w:rsidRPr="00430081" w:rsidRDefault="00782A5D" w:rsidP="00430081">
      <w:pPr>
        <w:jc w:val="both"/>
        <w:rPr>
          <w:rFonts w:ascii="Cambria" w:hAnsi="Cambria" w:cs="Arial"/>
          <w:sz w:val="24"/>
          <w:szCs w:val="24"/>
          <w:lang w:val="es-ES" w:eastAsia="es-ES"/>
        </w:rPr>
      </w:pPr>
      <w:r>
        <w:rPr>
          <w:rFonts w:ascii="Cambria" w:hAnsi="Cambria" w:cs="Arial"/>
          <w:noProof/>
          <w:sz w:val="24"/>
          <w:szCs w:val="24"/>
          <w:lang w:eastAsia="es-MX"/>
        </w:rPr>
        <mc:AlternateContent>
          <mc:Choice Requires="wpg">
            <w:drawing>
              <wp:anchor distT="0" distB="0" distL="114300" distR="114300" simplePos="0" relativeHeight="251659776" behindDoc="0" locked="0" layoutInCell="1" allowOverlap="1" wp14:anchorId="165069D3" wp14:editId="25F8885D">
                <wp:simplePos x="0" y="0"/>
                <wp:positionH relativeFrom="column">
                  <wp:posOffset>397199</wp:posOffset>
                </wp:positionH>
                <wp:positionV relativeFrom="paragraph">
                  <wp:posOffset>243441</wp:posOffset>
                </wp:positionV>
                <wp:extent cx="5448300" cy="523875"/>
                <wp:effectExtent l="0" t="0" r="38100" b="9525"/>
                <wp:wrapNone/>
                <wp:docPr id="12" name="Grupo 12"/>
                <wp:cNvGraphicFramePr/>
                <a:graphic xmlns:a="http://schemas.openxmlformats.org/drawingml/2006/main">
                  <a:graphicData uri="http://schemas.microsoft.com/office/word/2010/wordprocessingGroup">
                    <wpg:wgp>
                      <wpg:cNvGrpSpPr/>
                      <wpg:grpSpPr>
                        <a:xfrm>
                          <a:off x="0" y="0"/>
                          <a:ext cx="5448300" cy="523875"/>
                          <a:chOff x="0" y="0"/>
                          <a:chExt cx="5448300" cy="523875"/>
                        </a:xfrm>
                      </wpg:grpSpPr>
                      <wpg:grpSp>
                        <wpg:cNvPr id="21" name="Grupo 21"/>
                        <wpg:cNvGrpSpPr>
                          <a:grpSpLocks/>
                        </wpg:cNvGrpSpPr>
                        <wpg:grpSpPr>
                          <a:xfrm>
                            <a:off x="0" y="19050"/>
                            <a:ext cx="2486025" cy="504825"/>
                            <a:chOff x="0" y="0"/>
                            <a:chExt cx="2486025" cy="504825"/>
                          </a:xfrm>
                        </wpg:grpSpPr>
                        <wps:wsp>
                          <wps:cNvPr id="307" name="Cuadro de texto 2"/>
                          <wps:cNvSpPr txBox="1">
                            <a:spLocks noChangeArrowheads="1"/>
                          </wps:cNvSpPr>
                          <wps:spPr bwMode="auto">
                            <a:xfrm>
                              <a:off x="0" y="0"/>
                              <a:ext cx="2486025" cy="504825"/>
                            </a:xfrm>
                            <a:prstGeom prst="rect">
                              <a:avLst/>
                            </a:prstGeom>
                            <a:solidFill>
                              <a:srgbClr val="FFFFFF"/>
                            </a:solidFill>
                            <a:ln w="9525">
                              <a:noFill/>
                              <a:miter lim="800000"/>
                              <a:headEnd/>
                              <a:tailEnd/>
                            </a:ln>
                          </wps:spPr>
                          <wps:txbx>
                            <w:txbxContent>
                              <w:p w14:paraId="794C3941" w14:textId="77777777" w:rsidR="00A1098C" w:rsidRPr="005955FA" w:rsidRDefault="00A1098C" w:rsidP="00724CA5">
                                <w:pPr>
                                  <w:spacing w:after="0"/>
                                  <w:jc w:val="center"/>
                                  <w:rPr>
                                    <w:rFonts w:ascii="Cambria" w:hAnsi="Cambria"/>
                                    <w:b/>
                                    <w:noProof/>
                                    <w:sz w:val="16"/>
                                    <w:szCs w:val="16"/>
                                  </w:rPr>
                                </w:pPr>
                              </w:p>
                              <w:p w14:paraId="7C3D5C42" w14:textId="77777777" w:rsidR="00A1098C" w:rsidRPr="00FD0D66" w:rsidRDefault="00A1098C" w:rsidP="00724CA5">
                                <w:pPr>
                                  <w:spacing w:after="0"/>
                                  <w:jc w:val="center"/>
                                  <w:rPr>
                                    <w:rFonts w:ascii="Cambria" w:hAnsi="Cambria"/>
                                    <w:noProof/>
                                    <w:sz w:val="16"/>
                                    <w:szCs w:val="16"/>
                                  </w:rPr>
                                </w:pPr>
                                <w:r w:rsidRPr="00FD0D66">
                                  <w:rPr>
                                    <w:rFonts w:ascii="Cambria" w:hAnsi="Cambria"/>
                                    <w:noProof/>
                                    <w:sz w:val="16"/>
                                    <w:szCs w:val="16"/>
                                  </w:rPr>
                                  <w:t>LIC. RENÁN ALBERTO BARRERA CONCHA</w:t>
                                </w:r>
                              </w:p>
                              <w:p w14:paraId="590954AC" w14:textId="77777777" w:rsidR="00A1098C" w:rsidRPr="00FD0D66" w:rsidRDefault="00A1098C" w:rsidP="00724CA5">
                                <w:pPr>
                                  <w:spacing w:after="0"/>
                                  <w:jc w:val="center"/>
                                  <w:rPr>
                                    <w:rFonts w:ascii="Cambria" w:hAnsi="Cambria"/>
                                    <w:sz w:val="16"/>
                                    <w:szCs w:val="16"/>
                                  </w:rPr>
                                </w:pPr>
                                <w:r w:rsidRPr="00FD0D66">
                                  <w:rPr>
                                    <w:rFonts w:ascii="Cambria" w:hAnsi="Cambria"/>
                                    <w:noProof/>
                                    <w:sz w:val="16"/>
                                    <w:szCs w:val="16"/>
                                  </w:rPr>
                                  <w:t>PRESIDENTE MUNICIPAL</w:t>
                                </w:r>
                              </w:p>
                            </w:txbxContent>
                          </wps:txbx>
                          <wps:bodyPr rot="0" vert="horz" wrap="square" lIns="91440" tIns="45720" rIns="91440" bIns="45720" anchor="t" anchorCtr="0">
                            <a:noAutofit/>
                          </wps:bodyPr>
                        </wps:wsp>
                        <wps:wsp>
                          <wps:cNvPr id="22" name="7 Conector recto"/>
                          <wps:cNvCnPr/>
                          <wps:spPr>
                            <a:xfrm>
                              <a:off x="0" y="104775"/>
                              <a:ext cx="2486025" cy="0"/>
                            </a:xfrm>
                            <a:prstGeom prst="line">
                              <a:avLst/>
                            </a:prstGeom>
                            <a:noFill/>
                            <a:ln w="9525" cap="flat" cmpd="sng" algn="ctr">
                              <a:solidFill>
                                <a:sysClr val="windowText" lastClr="000000"/>
                              </a:solidFill>
                              <a:prstDash val="solid"/>
                            </a:ln>
                            <a:effectLst/>
                          </wps:spPr>
                          <wps:bodyPr/>
                        </wps:wsp>
                      </wpg:grpSp>
                      <wpg:grpSp>
                        <wpg:cNvPr id="26" name="Grupo 26"/>
                        <wpg:cNvGrpSpPr>
                          <a:grpSpLocks/>
                        </wpg:cNvGrpSpPr>
                        <wpg:grpSpPr>
                          <a:xfrm>
                            <a:off x="2962275" y="0"/>
                            <a:ext cx="2486025" cy="504825"/>
                            <a:chOff x="0" y="0"/>
                            <a:chExt cx="2486025" cy="504825"/>
                          </a:xfrm>
                        </wpg:grpSpPr>
                        <wps:wsp>
                          <wps:cNvPr id="27" name="Cuadro de texto 2"/>
                          <wps:cNvSpPr txBox="1">
                            <a:spLocks noChangeArrowheads="1"/>
                          </wps:cNvSpPr>
                          <wps:spPr bwMode="auto">
                            <a:xfrm>
                              <a:off x="0" y="0"/>
                              <a:ext cx="2486025" cy="504825"/>
                            </a:xfrm>
                            <a:prstGeom prst="rect">
                              <a:avLst/>
                            </a:prstGeom>
                            <a:solidFill>
                              <a:srgbClr val="FFFFFF"/>
                            </a:solidFill>
                            <a:ln w="9525">
                              <a:noFill/>
                              <a:miter lim="800000"/>
                              <a:headEnd/>
                              <a:tailEnd/>
                            </a:ln>
                          </wps:spPr>
                          <wps:txbx>
                            <w:txbxContent>
                              <w:p w14:paraId="2F2C284E" w14:textId="77777777" w:rsidR="00A1098C" w:rsidRDefault="00A1098C" w:rsidP="00724CA5">
                                <w:pPr>
                                  <w:spacing w:after="0"/>
                                  <w:jc w:val="center"/>
                                  <w:rPr>
                                    <w:rFonts w:ascii="Cambria" w:hAnsi="Cambria"/>
                                    <w:noProof/>
                                    <w:sz w:val="16"/>
                                    <w:szCs w:val="16"/>
                                  </w:rPr>
                                </w:pPr>
                              </w:p>
                              <w:p w14:paraId="4C12F28E" w14:textId="77777777" w:rsidR="00A1098C" w:rsidRPr="00FD0D66" w:rsidRDefault="00A1098C" w:rsidP="00724CA5">
                                <w:pPr>
                                  <w:spacing w:after="0"/>
                                  <w:jc w:val="center"/>
                                  <w:rPr>
                                    <w:rFonts w:ascii="Cambria" w:hAnsi="Cambria"/>
                                    <w:noProof/>
                                    <w:sz w:val="16"/>
                                    <w:szCs w:val="16"/>
                                  </w:rPr>
                                </w:pPr>
                                <w:r w:rsidRPr="00FD0D66">
                                  <w:rPr>
                                    <w:rFonts w:ascii="Cambria" w:hAnsi="Cambria"/>
                                    <w:noProof/>
                                    <w:sz w:val="16"/>
                                    <w:szCs w:val="16"/>
                                  </w:rPr>
                                  <w:t>LIC</w:t>
                                </w:r>
                                <w:r w:rsidR="00BB7750">
                                  <w:rPr>
                                    <w:rFonts w:ascii="Cambria" w:hAnsi="Cambria"/>
                                    <w:noProof/>
                                    <w:sz w:val="16"/>
                                    <w:szCs w:val="16"/>
                                  </w:rPr>
                                  <w:t>DA</w:t>
                                </w:r>
                                <w:r w:rsidRPr="00FD0D66">
                                  <w:rPr>
                                    <w:rFonts w:ascii="Cambria" w:hAnsi="Cambria"/>
                                    <w:noProof/>
                                    <w:sz w:val="16"/>
                                    <w:szCs w:val="16"/>
                                  </w:rPr>
                                  <w:t xml:space="preserve">. </w:t>
                                </w:r>
                                <w:r>
                                  <w:rPr>
                                    <w:rFonts w:ascii="Cambria" w:hAnsi="Cambria"/>
                                    <w:noProof/>
                                    <w:sz w:val="16"/>
                                    <w:szCs w:val="16"/>
                                  </w:rPr>
                                  <w:t>LAURA CRISTIN</w:t>
                                </w:r>
                                <w:r w:rsidRPr="00FD0D66">
                                  <w:rPr>
                                    <w:rFonts w:ascii="Cambria" w:hAnsi="Cambria"/>
                                    <w:noProof/>
                                    <w:sz w:val="16"/>
                                    <w:szCs w:val="16"/>
                                  </w:rPr>
                                  <w:t>A MUÑOZ MOLINA</w:t>
                                </w:r>
                                <w:r w:rsidR="00BB7750">
                                  <w:rPr>
                                    <w:rFonts w:ascii="Cambria" w:hAnsi="Cambria"/>
                                    <w:noProof/>
                                    <w:sz w:val="16"/>
                                    <w:szCs w:val="16"/>
                                  </w:rPr>
                                  <w:t>,  MTRA.</w:t>
                                </w:r>
                              </w:p>
                              <w:p w14:paraId="0DF01099" w14:textId="77777777" w:rsidR="00A1098C" w:rsidRPr="00FD0D66" w:rsidRDefault="00A1098C" w:rsidP="00724CA5">
                                <w:pPr>
                                  <w:spacing w:after="0"/>
                                  <w:jc w:val="center"/>
                                  <w:rPr>
                                    <w:rFonts w:ascii="Cambria" w:hAnsi="Cambria"/>
                                    <w:sz w:val="16"/>
                                    <w:szCs w:val="16"/>
                                  </w:rPr>
                                </w:pPr>
                                <w:r w:rsidRPr="00FD0D66">
                                  <w:rPr>
                                    <w:rFonts w:ascii="Cambria" w:hAnsi="Cambria"/>
                                    <w:noProof/>
                                    <w:sz w:val="16"/>
                                    <w:szCs w:val="16"/>
                                  </w:rPr>
                                  <w:t>DIRECTORA DE</w:t>
                                </w:r>
                                <w:r>
                                  <w:rPr>
                                    <w:rFonts w:ascii="Cambria" w:hAnsi="Cambria"/>
                                    <w:noProof/>
                                    <w:sz w:val="16"/>
                                    <w:szCs w:val="16"/>
                                  </w:rPr>
                                  <w:t xml:space="preserve"> </w:t>
                                </w:r>
                                <w:r w:rsidRPr="00FD0D66">
                                  <w:rPr>
                                    <w:rFonts w:ascii="Cambria" w:hAnsi="Cambria"/>
                                    <w:noProof/>
                                    <w:sz w:val="16"/>
                                    <w:szCs w:val="16"/>
                                  </w:rPr>
                                  <w:t>FINANZAS Y TESORERA MUNICIPAL</w:t>
                                </w:r>
                              </w:p>
                              <w:p w14:paraId="4DB97D58" w14:textId="77777777" w:rsidR="00A1098C" w:rsidRPr="00FD0D66" w:rsidRDefault="00A1098C" w:rsidP="00724CA5">
                                <w:pPr>
                                  <w:spacing w:after="0"/>
                                  <w:jc w:val="center"/>
                                  <w:rPr>
                                    <w:rFonts w:ascii="Cambria" w:hAnsi="Cambria"/>
                                    <w:sz w:val="16"/>
                                    <w:szCs w:val="16"/>
                                  </w:rPr>
                                </w:pPr>
                              </w:p>
                            </w:txbxContent>
                          </wps:txbx>
                          <wps:bodyPr rot="0" vert="horz" wrap="square" lIns="91440" tIns="45720" rIns="91440" bIns="45720" anchor="t" anchorCtr="0">
                            <a:noAutofit/>
                          </wps:bodyPr>
                        </wps:wsp>
                        <wps:wsp>
                          <wps:cNvPr id="28" name="20 Conector recto"/>
                          <wps:cNvCnPr/>
                          <wps:spPr>
                            <a:xfrm>
                              <a:off x="0" y="104775"/>
                              <a:ext cx="2486025" cy="0"/>
                            </a:xfrm>
                            <a:prstGeom prst="line">
                              <a:avLst/>
                            </a:prstGeom>
                            <a:noFill/>
                            <a:ln w="9525" cap="flat" cmpd="sng" algn="ctr">
                              <a:solidFill>
                                <a:sysClr val="windowText" lastClr="000000"/>
                              </a:solidFill>
                              <a:prstDash val="solid"/>
                            </a:ln>
                            <a:effectLst/>
                          </wps:spPr>
                          <wps:bodyPr/>
                        </wps:wsp>
                      </wpg:grpSp>
                    </wpg:wgp>
                  </a:graphicData>
                </a:graphic>
              </wp:anchor>
            </w:drawing>
          </mc:Choice>
          <mc:Fallback>
            <w:pict>
              <v:group w14:anchorId="165069D3" id="Grupo 12" o:spid="_x0000_s1032" style="position:absolute;left:0;text-align:left;margin-left:31.3pt;margin-top:19.15pt;width:429pt;height:41.25pt;z-index:251659776" coordsize="54483,5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">
                <v:group id="Grupo 21" o:spid="_x0000_s1033" style="position:absolute;top:190;width:24860;height:5048" coordsize="24860,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Cuadro de texto 2" o:spid="_x0000_s1034" type="#_x0000_t202" style="position:absolute;width:24860;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14:paraId="794C3941" w14:textId="77777777" w:rsidR="00A1098C" w:rsidRPr="005955FA" w:rsidRDefault="00A1098C" w:rsidP="00724CA5">
                          <w:pPr>
                            <w:spacing w:after="0"/>
                            <w:jc w:val="center"/>
                            <w:rPr>
                              <w:rFonts w:ascii="Cambria" w:hAnsi="Cambria"/>
                              <w:b/>
                              <w:noProof/>
                              <w:sz w:val="16"/>
                              <w:szCs w:val="16"/>
                            </w:rPr>
                          </w:pPr>
                        </w:p>
                        <w:p w14:paraId="7C3D5C42" w14:textId="77777777" w:rsidR="00A1098C" w:rsidRPr="00FD0D66" w:rsidRDefault="00A1098C" w:rsidP="00724CA5">
                          <w:pPr>
                            <w:spacing w:after="0"/>
                            <w:jc w:val="center"/>
                            <w:rPr>
                              <w:rFonts w:ascii="Cambria" w:hAnsi="Cambria"/>
                              <w:noProof/>
                              <w:sz w:val="16"/>
                              <w:szCs w:val="16"/>
                            </w:rPr>
                          </w:pPr>
                          <w:r w:rsidRPr="00FD0D66">
                            <w:rPr>
                              <w:rFonts w:ascii="Cambria" w:hAnsi="Cambria"/>
                              <w:noProof/>
                              <w:sz w:val="16"/>
                              <w:szCs w:val="16"/>
                            </w:rPr>
                            <w:t>LIC. RENÁN ALBERTO BARRERA CONCHA</w:t>
                          </w:r>
                        </w:p>
                        <w:p w14:paraId="590954AC" w14:textId="77777777" w:rsidR="00A1098C" w:rsidRPr="00FD0D66" w:rsidRDefault="00A1098C" w:rsidP="00724CA5">
                          <w:pPr>
                            <w:spacing w:after="0"/>
                            <w:jc w:val="center"/>
                            <w:rPr>
                              <w:rFonts w:ascii="Cambria" w:hAnsi="Cambria"/>
                              <w:sz w:val="16"/>
                              <w:szCs w:val="16"/>
                            </w:rPr>
                          </w:pPr>
                          <w:r w:rsidRPr="00FD0D66">
                            <w:rPr>
                              <w:rFonts w:ascii="Cambria" w:hAnsi="Cambria"/>
                              <w:noProof/>
                              <w:sz w:val="16"/>
                              <w:szCs w:val="16"/>
                            </w:rPr>
                            <w:t>PRESIDENTE MUNICIPAL</w:t>
                          </w:r>
                        </w:p>
                      </w:txbxContent>
                    </v:textbox>
                  </v:shape>
                  <v:line id="7 Conector recto" o:spid="_x0000_s1035" style="position:absolute;visibility:visible;mso-wrap-style:square" from="0,1047" to="24860,1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" strokecolor="windowText"/>
                </v:group>
                <v:group id="Grupo 26" o:spid="_x0000_s1036" style="position:absolute;left:29622;width:24861;height:5048" coordsize="24860,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Cuadro de texto 2" o:spid="_x0000_s1037" type="#_x0000_t202" style="position:absolute;width:24860;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14:paraId="2F2C284E" w14:textId="77777777" w:rsidR="00A1098C" w:rsidRDefault="00A1098C" w:rsidP="00724CA5">
                          <w:pPr>
                            <w:spacing w:after="0"/>
                            <w:jc w:val="center"/>
                            <w:rPr>
                              <w:rFonts w:ascii="Cambria" w:hAnsi="Cambria"/>
                              <w:noProof/>
                              <w:sz w:val="16"/>
                              <w:szCs w:val="16"/>
                            </w:rPr>
                          </w:pPr>
                        </w:p>
                        <w:p w14:paraId="4C12F28E" w14:textId="77777777" w:rsidR="00A1098C" w:rsidRPr="00FD0D66" w:rsidRDefault="00A1098C" w:rsidP="00724CA5">
                          <w:pPr>
                            <w:spacing w:after="0"/>
                            <w:jc w:val="center"/>
                            <w:rPr>
                              <w:rFonts w:ascii="Cambria" w:hAnsi="Cambria"/>
                              <w:noProof/>
                              <w:sz w:val="16"/>
                              <w:szCs w:val="16"/>
                            </w:rPr>
                          </w:pPr>
                          <w:r w:rsidRPr="00FD0D66">
                            <w:rPr>
                              <w:rFonts w:ascii="Cambria" w:hAnsi="Cambria"/>
                              <w:noProof/>
                              <w:sz w:val="16"/>
                              <w:szCs w:val="16"/>
                            </w:rPr>
                            <w:t>LIC</w:t>
                          </w:r>
                          <w:r w:rsidR="00BB7750">
                            <w:rPr>
                              <w:rFonts w:ascii="Cambria" w:hAnsi="Cambria"/>
                              <w:noProof/>
                              <w:sz w:val="16"/>
                              <w:szCs w:val="16"/>
                            </w:rPr>
                            <w:t>DA</w:t>
                          </w:r>
                          <w:r w:rsidRPr="00FD0D66">
                            <w:rPr>
                              <w:rFonts w:ascii="Cambria" w:hAnsi="Cambria"/>
                              <w:noProof/>
                              <w:sz w:val="16"/>
                              <w:szCs w:val="16"/>
                            </w:rPr>
                            <w:t xml:space="preserve">. </w:t>
                          </w:r>
                          <w:r>
                            <w:rPr>
                              <w:rFonts w:ascii="Cambria" w:hAnsi="Cambria"/>
                              <w:noProof/>
                              <w:sz w:val="16"/>
                              <w:szCs w:val="16"/>
                            </w:rPr>
                            <w:t>LAURA CRISTIN</w:t>
                          </w:r>
                          <w:r w:rsidRPr="00FD0D66">
                            <w:rPr>
                              <w:rFonts w:ascii="Cambria" w:hAnsi="Cambria"/>
                              <w:noProof/>
                              <w:sz w:val="16"/>
                              <w:szCs w:val="16"/>
                            </w:rPr>
                            <w:t>A MUÑOZ MOLINA</w:t>
                          </w:r>
                          <w:r w:rsidR="00BB7750">
                            <w:rPr>
                              <w:rFonts w:ascii="Cambria" w:hAnsi="Cambria"/>
                              <w:noProof/>
                              <w:sz w:val="16"/>
                              <w:szCs w:val="16"/>
                            </w:rPr>
                            <w:t>,  MTRA.</w:t>
                          </w:r>
                        </w:p>
                        <w:p w14:paraId="0DF01099" w14:textId="77777777" w:rsidR="00A1098C" w:rsidRPr="00FD0D66" w:rsidRDefault="00A1098C" w:rsidP="00724CA5">
                          <w:pPr>
                            <w:spacing w:after="0"/>
                            <w:jc w:val="center"/>
                            <w:rPr>
                              <w:rFonts w:ascii="Cambria" w:hAnsi="Cambria"/>
                              <w:sz w:val="16"/>
                              <w:szCs w:val="16"/>
                            </w:rPr>
                          </w:pPr>
                          <w:r w:rsidRPr="00FD0D66">
                            <w:rPr>
                              <w:rFonts w:ascii="Cambria" w:hAnsi="Cambria"/>
                              <w:noProof/>
                              <w:sz w:val="16"/>
                              <w:szCs w:val="16"/>
                            </w:rPr>
                            <w:t>DIRECTORA DE</w:t>
                          </w:r>
                          <w:r>
                            <w:rPr>
                              <w:rFonts w:ascii="Cambria" w:hAnsi="Cambria"/>
                              <w:noProof/>
                              <w:sz w:val="16"/>
                              <w:szCs w:val="16"/>
                            </w:rPr>
                            <w:t xml:space="preserve"> </w:t>
                          </w:r>
                          <w:r w:rsidRPr="00FD0D66">
                            <w:rPr>
                              <w:rFonts w:ascii="Cambria" w:hAnsi="Cambria"/>
                              <w:noProof/>
                              <w:sz w:val="16"/>
                              <w:szCs w:val="16"/>
                            </w:rPr>
                            <w:t>FINANZAS Y TESORERA MUNICIPAL</w:t>
                          </w:r>
                        </w:p>
                        <w:p w14:paraId="4DB97D58" w14:textId="77777777" w:rsidR="00A1098C" w:rsidRPr="00FD0D66" w:rsidRDefault="00A1098C" w:rsidP="00724CA5">
                          <w:pPr>
                            <w:spacing w:after="0"/>
                            <w:jc w:val="center"/>
                            <w:rPr>
                              <w:rFonts w:ascii="Cambria" w:hAnsi="Cambria"/>
                              <w:sz w:val="16"/>
                              <w:szCs w:val="16"/>
                            </w:rPr>
                          </w:pPr>
                        </w:p>
                      </w:txbxContent>
                    </v:textbox>
                  </v:shape>
                  <v:line id="20 Conector recto" o:spid="_x0000_s1038" style="position:absolute;visibility:visible;mso-wrap-style:square" from="0,1047" to="24860,1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" strokecolor="windowText"/>
                </v:group>
              </v:group>
            </w:pict>
          </mc:Fallback>
        </mc:AlternateContent>
      </w:r>
    </w:p>
    <w:sectPr w:rsidR="00CF6A99" w:rsidRPr="00430081" w:rsidSect="00184BC1">
      <w:headerReference w:type="default" r:id="rId33"/>
      <w:footerReference w:type="default" r:id="rId34"/>
      <w:pgSz w:w="12240" w:h="15840"/>
      <w:pgMar w:top="445"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EA90C" w14:textId="77777777" w:rsidR="0091797C" w:rsidRDefault="0091797C" w:rsidP="00CF6A99">
      <w:pPr>
        <w:spacing w:after="0" w:line="240" w:lineRule="auto"/>
      </w:pPr>
      <w:r>
        <w:separator/>
      </w:r>
    </w:p>
  </w:endnote>
  <w:endnote w:type="continuationSeparator" w:id="0">
    <w:p w14:paraId="5E8EF397" w14:textId="77777777" w:rsidR="0091797C" w:rsidRDefault="0091797C" w:rsidP="00CF6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254039"/>
      <w:docPartObj>
        <w:docPartGallery w:val="Page Numbers (Bottom of Page)"/>
        <w:docPartUnique/>
      </w:docPartObj>
    </w:sdtPr>
    <w:sdtEndPr/>
    <w:sdtContent>
      <w:p w14:paraId="3E1266FC" w14:textId="77777777" w:rsidR="00A1098C" w:rsidRDefault="00A1098C">
        <w:pPr>
          <w:pStyle w:val="Piedepgina"/>
          <w:jc w:val="right"/>
        </w:pPr>
        <w:r>
          <w:fldChar w:fldCharType="begin"/>
        </w:r>
        <w:r>
          <w:instrText>PAGE   \* MERGEFORMAT</w:instrText>
        </w:r>
        <w:r>
          <w:fldChar w:fldCharType="separate"/>
        </w:r>
        <w:r w:rsidR="00C663A5" w:rsidRPr="00C663A5">
          <w:rPr>
            <w:noProof/>
            <w:lang w:val="es-ES"/>
          </w:rPr>
          <w:t>15</w:t>
        </w:r>
        <w:r>
          <w:fldChar w:fldCharType="end"/>
        </w:r>
      </w:p>
    </w:sdtContent>
  </w:sdt>
  <w:p w14:paraId="630599ED" w14:textId="77777777" w:rsidR="00A1098C" w:rsidRDefault="00A109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50038" w14:textId="77777777" w:rsidR="0091797C" w:rsidRDefault="0091797C" w:rsidP="00CF6A99">
      <w:pPr>
        <w:spacing w:after="0" w:line="240" w:lineRule="auto"/>
      </w:pPr>
      <w:r>
        <w:separator/>
      </w:r>
    </w:p>
  </w:footnote>
  <w:footnote w:type="continuationSeparator" w:id="0">
    <w:p w14:paraId="7F81BAE9" w14:textId="77777777" w:rsidR="0091797C" w:rsidRDefault="0091797C" w:rsidP="00CF6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CD35" w14:textId="77777777" w:rsidR="00A1098C" w:rsidRDefault="00A1098C" w:rsidP="00184BC1">
    <w:pPr>
      <w:pStyle w:val="Encabezado"/>
      <w:jc w:val="center"/>
    </w:pPr>
    <w:r>
      <w:rPr>
        <w:noProof/>
        <w:lang w:eastAsia="es-MX"/>
      </w:rPr>
      <w:drawing>
        <wp:inline distT="0" distB="0" distL="0" distR="0" wp14:anchorId="1952ED4B" wp14:editId="1D660A8C">
          <wp:extent cx="914400" cy="1182877"/>
          <wp:effectExtent l="0" t="0" r="0" b="0"/>
          <wp:docPr id="7" name="Imagen 7" descr="http://www.ayuntanet.gob.mx/imagen_inst/descargas/escudo2021-2024/ESCUDO_AYUNTAMIENTO_MERIDA_AZ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yuntanet.gob.mx/imagen_inst/descargas/escudo2021-2024/ESCUDO_AYUNTAMIENTO_MERIDA_AZU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7702" cy="11871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6399"/>
    <w:multiLevelType w:val="hybridMultilevel"/>
    <w:tmpl w:val="4718CFD8"/>
    <w:lvl w:ilvl="0" w:tplc="080A0009">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15:restartNumberingAfterBreak="0">
    <w:nsid w:val="13E8554A"/>
    <w:multiLevelType w:val="hybridMultilevel"/>
    <w:tmpl w:val="8A767B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F30C4C"/>
    <w:multiLevelType w:val="hybridMultilevel"/>
    <w:tmpl w:val="FE1413BA"/>
    <w:lvl w:ilvl="0" w:tplc="080A0009">
      <w:start w:val="1"/>
      <w:numFmt w:val="bullet"/>
      <w:lvlText w:val=""/>
      <w:lvlJc w:val="left"/>
      <w:pPr>
        <w:ind w:left="1146" w:hanging="360"/>
      </w:pPr>
      <w:rPr>
        <w:rFonts w:ascii="Wingdings" w:hAnsi="Wingdings" w:hint="default"/>
        <w:sz w:val="22"/>
        <w:szCs w:val="22"/>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 w15:restartNumberingAfterBreak="0">
    <w:nsid w:val="1B680E42"/>
    <w:multiLevelType w:val="multilevel"/>
    <w:tmpl w:val="69241406"/>
    <w:lvl w:ilvl="0">
      <w:start w:val="1"/>
      <w:numFmt w:val="decimal"/>
      <w:lvlText w:val="%1."/>
      <w:lvlJc w:val="left"/>
      <w:pPr>
        <w:ind w:left="-218" w:firstLine="360"/>
      </w:pPr>
    </w:lvl>
    <w:lvl w:ilvl="1">
      <w:start w:val="1"/>
      <w:numFmt w:val="lowerLetter"/>
      <w:lvlText w:val="%2."/>
      <w:lvlJc w:val="left"/>
      <w:pPr>
        <w:ind w:left="502" w:firstLine="1080"/>
      </w:pPr>
    </w:lvl>
    <w:lvl w:ilvl="2">
      <w:start w:val="1"/>
      <w:numFmt w:val="lowerRoman"/>
      <w:lvlText w:val="%3."/>
      <w:lvlJc w:val="right"/>
      <w:pPr>
        <w:ind w:left="1222" w:firstLine="1980"/>
      </w:pPr>
    </w:lvl>
    <w:lvl w:ilvl="3">
      <w:start w:val="1"/>
      <w:numFmt w:val="decimal"/>
      <w:lvlText w:val="%4."/>
      <w:lvlJc w:val="left"/>
      <w:pPr>
        <w:ind w:left="1942" w:firstLine="2520"/>
      </w:pPr>
    </w:lvl>
    <w:lvl w:ilvl="4">
      <w:start w:val="1"/>
      <w:numFmt w:val="lowerLetter"/>
      <w:lvlText w:val="%5."/>
      <w:lvlJc w:val="left"/>
      <w:pPr>
        <w:ind w:left="2662" w:firstLine="3240"/>
      </w:pPr>
    </w:lvl>
    <w:lvl w:ilvl="5">
      <w:start w:val="1"/>
      <w:numFmt w:val="lowerRoman"/>
      <w:lvlText w:val="%6."/>
      <w:lvlJc w:val="right"/>
      <w:pPr>
        <w:ind w:left="3382" w:firstLine="4140"/>
      </w:pPr>
    </w:lvl>
    <w:lvl w:ilvl="6">
      <w:start w:val="1"/>
      <w:numFmt w:val="decimal"/>
      <w:lvlText w:val="%7."/>
      <w:lvlJc w:val="left"/>
      <w:pPr>
        <w:ind w:left="4102" w:firstLine="4680"/>
      </w:pPr>
    </w:lvl>
    <w:lvl w:ilvl="7">
      <w:start w:val="1"/>
      <w:numFmt w:val="lowerLetter"/>
      <w:lvlText w:val="%8."/>
      <w:lvlJc w:val="left"/>
      <w:pPr>
        <w:ind w:left="4822" w:firstLine="5400"/>
      </w:pPr>
    </w:lvl>
    <w:lvl w:ilvl="8">
      <w:start w:val="1"/>
      <w:numFmt w:val="lowerRoman"/>
      <w:lvlText w:val="%9."/>
      <w:lvlJc w:val="right"/>
      <w:pPr>
        <w:ind w:left="5542" w:firstLine="6300"/>
      </w:pPr>
    </w:lvl>
  </w:abstractNum>
  <w:abstractNum w:abstractNumId="4" w15:restartNumberingAfterBreak="0">
    <w:nsid w:val="1D767A5C"/>
    <w:multiLevelType w:val="hybridMultilevel"/>
    <w:tmpl w:val="EBA83FC4"/>
    <w:lvl w:ilvl="0" w:tplc="080A0009">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 w15:restartNumberingAfterBreak="0">
    <w:nsid w:val="28C4322C"/>
    <w:multiLevelType w:val="hybridMultilevel"/>
    <w:tmpl w:val="00AAFA50"/>
    <w:lvl w:ilvl="0" w:tplc="7CC03C9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4D2FEB"/>
    <w:multiLevelType w:val="hybridMultilevel"/>
    <w:tmpl w:val="16CCDD56"/>
    <w:lvl w:ilvl="0" w:tplc="080A0009">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7" w15:restartNumberingAfterBreak="0">
    <w:nsid w:val="3C456611"/>
    <w:multiLevelType w:val="hybridMultilevel"/>
    <w:tmpl w:val="D5C43EC6"/>
    <w:lvl w:ilvl="0" w:tplc="080A0009">
      <w:start w:val="1"/>
      <w:numFmt w:val="bullet"/>
      <w:lvlText w:val=""/>
      <w:lvlJc w:val="left"/>
      <w:pPr>
        <w:ind w:left="1146" w:hanging="360"/>
      </w:pPr>
      <w:rPr>
        <w:rFonts w:ascii="Wingdings" w:hAnsi="Wingding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8" w15:restartNumberingAfterBreak="0">
    <w:nsid w:val="3D3D11F0"/>
    <w:multiLevelType w:val="hybridMultilevel"/>
    <w:tmpl w:val="A3F68C78"/>
    <w:lvl w:ilvl="0" w:tplc="080A0009">
      <w:start w:val="1"/>
      <w:numFmt w:val="bullet"/>
      <w:lvlText w:val=""/>
      <w:lvlJc w:val="left"/>
      <w:pPr>
        <w:ind w:left="1068" w:hanging="360"/>
      </w:pPr>
      <w:rPr>
        <w:rFonts w:ascii="Wingdings" w:hAnsi="Wingdings" w:hint="default"/>
        <w:sz w:val="22"/>
        <w:szCs w:val="22"/>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15:restartNumberingAfterBreak="0">
    <w:nsid w:val="3EA76092"/>
    <w:multiLevelType w:val="hybridMultilevel"/>
    <w:tmpl w:val="72D4B3B4"/>
    <w:lvl w:ilvl="0" w:tplc="97C87DC6">
      <w:start w:val="3"/>
      <w:numFmt w:val="lowerLetter"/>
      <w:lvlText w:val="%1)"/>
      <w:lvlJc w:val="left"/>
      <w:pPr>
        <w:ind w:left="786" w:hanging="360"/>
      </w:pPr>
      <w:rPr>
        <w:rFonts w:hint="default"/>
        <w:sz w:val="24"/>
        <w:szCs w:val="24"/>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0" w15:restartNumberingAfterBreak="0">
    <w:nsid w:val="42EF1553"/>
    <w:multiLevelType w:val="hybridMultilevel"/>
    <w:tmpl w:val="9BBC2C3A"/>
    <w:lvl w:ilvl="0" w:tplc="080A0009">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1" w15:restartNumberingAfterBreak="0">
    <w:nsid w:val="493A72DB"/>
    <w:multiLevelType w:val="hybridMultilevel"/>
    <w:tmpl w:val="1068DA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9C01D4F"/>
    <w:multiLevelType w:val="hybridMultilevel"/>
    <w:tmpl w:val="40B26806"/>
    <w:lvl w:ilvl="0" w:tplc="080A0009">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3" w15:restartNumberingAfterBreak="0">
    <w:nsid w:val="50C42DF4"/>
    <w:multiLevelType w:val="hybridMultilevel"/>
    <w:tmpl w:val="645209BC"/>
    <w:lvl w:ilvl="0" w:tplc="24E239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15B627B"/>
    <w:multiLevelType w:val="hybridMultilevel"/>
    <w:tmpl w:val="A89626C0"/>
    <w:lvl w:ilvl="0" w:tplc="7CC03C94">
      <w:start w:val="1"/>
      <w:numFmt w:val="decimal"/>
      <w:lvlText w:val="%1."/>
      <w:lvlJc w:val="left"/>
      <w:pPr>
        <w:ind w:left="2421" w:hanging="360"/>
      </w:pPr>
      <w:rPr>
        <w:rFonts w:hint="default"/>
        <w:b/>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15" w15:restartNumberingAfterBreak="0">
    <w:nsid w:val="55C11996"/>
    <w:multiLevelType w:val="hybridMultilevel"/>
    <w:tmpl w:val="50624078"/>
    <w:lvl w:ilvl="0" w:tplc="3304933E">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6" w15:restartNumberingAfterBreak="0">
    <w:nsid w:val="56B93E34"/>
    <w:multiLevelType w:val="hybridMultilevel"/>
    <w:tmpl w:val="9E9432AA"/>
    <w:lvl w:ilvl="0" w:tplc="8F24D8DA">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 w15:restartNumberingAfterBreak="0">
    <w:nsid w:val="5DD75651"/>
    <w:multiLevelType w:val="hybridMultilevel"/>
    <w:tmpl w:val="3BC2FBE8"/>
    <w:lvl w:ilvl="0" w:tplc="080A0009">
      <w:start w:val="1"/>
      <w:numFmt w:val="bullet"/>
      <w:lvlText w:val=""/>
      <w:lvlJc w:val="left"/>
      <w:pPr>
        <w:ind w:left="1440" w:hanging="360"/>
      </w:pPr>
      <w:rPr>
        <w:rFonts w:ascii="Wingdings" w:hAnsi="Wingdings" w:hint="default"/>
        <w:sz w:val="22"/>
        <w:szCs w:val="22"/>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62FC16AC"/>
    <w:multiLevelType w:val="multilevel"/>
    <w:tmpl w:val="E3E461A4"/>
    <w:lvl w:ilvl="0">
      <w:start w:val="1"/>
      <w:numFmt w:val="bullet"/>
      <w:lvlText w:val=""/>
      <w:lvlJc w:val="left"/>
      <w:pPr>
        <w:ind w:left="1800" w:firstLine="360"/>
      </w:pPr>
      <w:rPr>
        <w:rFonts w:ascii="Symbol" w:hAnsi="Symbol" w:hint="default"/>
        <w:u w:val="none"/>
      </w:rPr>
    </w:lvl>
    <w:lvl w:ilvl="1">
      <w:start w:val="1"/>
      <w:numFmt w:val="bullet"/>
      <w:lvlText w:val="○"/>
      <w:lvlJc w:val="left"/>
      <w:pPr>
        <w:ind w:left="2520" w:firstLine="1080"/>
      </w:pPr>
      <w:rPr>
        <w:u w:val="none"/>
      </w:rPr>
    </w:lvl>
    <w:lvl w:ilvl="2">
      <w:start w:val="1"/>
      <w:numFmt w:val="bullet"/>
      <w:lvlText w:val="■"/>
      <w:lvlJc w:val="left"/>
      <w:pPr>
        <w:ind w:left="3240" w:firstLine="1800"/>
      </w:pPr>
      <w:rPr>
        <w:u w:val="none"/>
      </w:rPr>
    </w:lvl>
    <w:lvl w:ilvl="3">
      <w:start w:val="1"/>
      <w:numFmt w:val="bullet"/>
      <w:lvlText w:val="●"/>
      <w:lvlJc w:val="left"/>
      <w:pPr>
        <w:ind w:left="3960" w:firstLine="2520"/>
      </w:pPr>
      <w:rPr>
        <w:u w:val="none"/>
      </w:rPr>
    </w:lvl>
    <w:lvl w:ilvl="4">
      <w:start w:val="1"/>
      <w:numFmt w:val="bullet"/>
      <w:lvlText w:val="○"/>
      <w:lvlJc w:val="left"/>
      <w:pPr>
        <w:ind w:left="4680" w:firstLine="3240"/>
      </w:pPr>
      <w:rPr>
        <w:u w:val="none"/>
      </w:rPr>
    </w:lvl>
    <w:lvl w:ilvl="5">
      <w:start w:val="1"/>
      <w:numFmt w:val="bullet"/>
      <w:lvlText w:val="■"/>
      <w:lvlJc w:val="left"/>
      <w:pPr>
        <w:ind w:left="5400" w:firstLine="3960"/>
      </w:pPr>
      <w:rPr>
        <w:u w:val="none"/>
      </w:rPr>
    </w:lvl>
    <w:lvl w:ilvl="6">
      <w:start w:val="1"/>
      <w:numFmt w:val="bullet"/>
      <w:lvlText w:val="●"/>
      <w:lvlJc w:val="left"/>
      <w:pPr>
        <w:ind w:left="6120" w:firstLine="4680"/>
      </w:pPr>
      <w:rPr>
        <w:u w:val="none"/>
      </w:rPr>
    </w:lvl>
    <w:lvl w:ilvl="7">
      <w:start w:val="1"/>
      <w:numFmt w:val="bullet"/>
      <w:lvlText w:val="○"/>
      <w:lvlJc w:val="left"/>
      <w:pPr>
        <w:ind w:left="6840" w:firstLine="5400"/>
      </w:pPr>
      <w:rPr>
        <w:u w:val="none"/>
      </w:rPr>
    </w:lvl>
    <w:lvl w:ilvl="8">
      <w:start w:val="1"/>
      <w:numFmt w:val="bullet"/>
      <w:lvlText w:val="■"/>
      <w:lvlJc w:val="left"/>
      <w:pPr>
        <w:ind w:left="7560" w:firstLine="6120"/>
      </w:pPr>
      <w:rPr>
        <w:u w:val="none"/>
      </w:rPr>
    </w:lvl>
  </w:abstractNum>
  <w:abstractNum w:abstractNumId="19" w15:restartNumberingAfterBreak="0">
    <w:nsid w:val="6978678B"/>
    <w:multiLevelType w:val="hybridMultilevel"/>
    <w:tmpl w:val="00AAFA50"/>
    <w:lvl w:ilvl="0" w:tplc="7CC03C9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1C44086"/>
    <w:multiLevelType w:val="hybridMultilevel"/>
    <w:tmpl w:val="0E58BE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4BA4417"/>
    <w:multiLevelType w:val="hybridMultilevel"/>
    <w:tmpl w:val="D034D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512005E"/>
    <w:multiLevelType w:val="hybridMultilevel"/>
    <w:tmpl w:val="7C22C7D6"/>
    <w:lvl w:ilvl="0" w:tplc="080A0009">
      <w:start w:val="1"/>
      <w:numFmt w:val="bullet"/>
      <w:lvlText w:val=""/>
      <w:lvlJc w:val="left"/>
      <w:pPr>
        <w:ind w:left="1068" w:hanging="360"/>
      </w:pPr>
      <w:rPr>
        <w:rFonts w:ascii="Wingdings" w:hAnsi="Wingding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6"/>
  </w:num>
  <w:num w:numId="2">
    <w:abstractNumId w:val="6"/>
  </w:num>
  <w:num w:numId="3">
    <w:abstractNumId w:val="7"/>
  </w:num>
  <w:num w:numId="4">
    <w:abstractNumId w:val="4"/>
  </w:num>
  <w:num w:numId="5">
    <w:abstractNumId w:val="10"/>
  </w:num>
  <w:num w:numId="6">
    <w:abstractNumId w:val="19"/>
  </w:num>
  <w:num w:numId="7">
    <w:abstractNumId w:val="22"/>
  </w:num>
  <w:num w:numId="8">
    <w:abstractNumId w:val="0"/>
  </w:num>
  <w:num w:numId="9">
    <w:abstractNumId w:val="12"/>
  </w:num>
  <w:num w:numId="10">
    <w:abstractNumId w:val="8"/>
  </w:num>
  <w:num w:numId="11">
    <w:abstractNumId w:val="5"/>
  </w:num>
  <w:num w:numId="12">
    <w:abstractNumId w:val="15"/>
  </w:num>
  <w:num w:numId="13">
    <w:abstractNumId w:val="9"/>
  </w:num>
  <w:num w:numId="14">
    <w:abstractNumId w:val="17"/>
  </w:num>
  <w:num w:numId="15">
    <w:abstractNumId w:val="14"/>
  </w:num>
  <w:num w:numId="16">
    <w:abstractNumId w:val="2"/>
  </w:num>
  <w:num w:numId="17">
    <w:abstractNumId w:val="3"/>
  </w:num>
  <w:num w:numId="18">
    <w:abstractNumId w:val="18"/>
  </w:num>
  <w:num w:numId="19">
    <w:abstractNumId w:val="1"/>
  </w:num>
  <w:num w:numId="20">
    <w:abstractNumId w:val="21"/>
  </w:num>
  <w:num w:numId="21">
    <w:abstractNumId w:val="20"/>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6A99"/>
    <w:rsid w:val="00011253"/>
    <w:rsid w:val="000116AA"/>
    <w:rsid w:val="00013263"/>
    <w:rsid w:val="00017B51"/>
    <w:rsid w:val="0002186D"/>
    <w:rsid w:val="00031E37"/>
    <w:rsid w:val="000400D2"/>
    <w:rsid w:val="00043738"/>
    <w:rsid w:val="00044792"/>
    <w:rsid w:val="0004539B"/>
    <w:rsid w:val="000458D4"/>
    <w:rsid w:val="00065E55"/>
    <w:rsid w:val="00081A93"/>
    <w:rsid w:val="00090485"/>
    <w:rsid w:val="0009129B"/>
    <w:rsid w:val="000A5731"/>
    <w:rsid w:val="000A5B24"/>
    <w:rsid w:val="000A6D78"/>
    <w:rsid w:val="000D1A93"/>
    <w:rsid w:val="000D5A91"/>
    <w:rsid w:val="000E3830"/>
    <w:rsid w:val="000E64E0"/>
    <w:rsid w:val="000F068C"/>
    <w:rsid w:val="00106E3C"/>
    <w:rsid w:val="001075D7"/>
    <w:rsid w:val="00111CEC"/>
    <w:rsid w:val="001469BC"/>
    <w:rsid w:val="00147167"/>
    <w:rsid w:val="00162799"/>
    <w:rsid w:val="00162978"/>
    <w:rsid w:val="00166C46"/>
    <w:rsid w:val="0016775D"/>
    <w:rsid w:val="0017072B"/>
    <w:rsid w:val="00176771"/>
    <w:rsid w:val="0018130E"/>
    <w:rsid w:val="00184BC1"/>
    <w:rsid w:val="00184C8F"/>
    <w:rsid w:val="00193ECF"/>
    <w:rsid w:val="001A5103"/>
    <w:rsid w:val="001B0F81"/>
    <w:rsid w:val="001B23D9"/>
    <w:rsid w:val="001C1376"/>
    <w:rsid w:val="001C7371"/>
    <w:rsid w:val="001D43CD"/>
    <w:rsid w:val="001D4764"/>
    <w:rsid w:val="001F16C3"/>
    <w:rsid w:val="00214233"/>
    <w:rsid w:val="00222915"/>
    <w:rsid w:val="002231DE"/>
    <w:rsid w:val="0022452D"/>
    <w:rsid w:val="00225B79"/>
    <w:rsid w:val="00236B1F"/>
    <w:rsid w:val="00241362"/>
    <w:rsid w:val="00242F67"/>
    <w:rsid w:val="0025438F"/>
    <w:rsid w:val="00257D16"/>
    <w:rsid w:val="00261E66"/>
    <w:rsid w:val="002623ED"/>
    <w:rsid w:val="00264864"/>
    <w:rsid w:val="00272153"/>
    <w:rsid w:val="00274DBB"/>
    <w:rsid w:val="00277923"/>
    <w:rsid w:val="00282A7A"/>
    <w:rsid w:val="0029376D"/>
    <w:rsid w:val="00297271"/>
    <w:rsid w:val="002A1F40"/>
    <w:rsid w:val="002A23DB"/>
    <w:rsid w:val="002A2733"/>
    <w:rsid w:val="002A78F5"/>
    <w:rsid w:val="002B1FF2"/>
    <w:rsid w:val="002B6D2A"/>
    <w:rsid w:val="002C0FD9"/>
    <w:rsid w:val="002C4A18"/>
    <w:rsid w:val="002C5230"/>
    <w:rsid w:val="002D1751"/>
    <w:rsid w:val="002F070D"/>
    <w:rsid w:val="00305980"/>
    <w:rsid w:val="003135FA"/>
    <w:rsid w:val="00314614"/>
    <w:rsid w:val="00321551"/>
    <w:rsid w:val="00327B3C"/>
    <w:rsid w:val="00334987"/>
    <w:rsid w:val="00335F6C"/>
    <w:rsid w:val="00347598"/>
    <w:rsid w:val="003679EC"/>
    <w:rsid w:val="003718B0"/>
    <w:rsid w:val="00373A4E"/>
    <w:rsid w:val="003755FD"/>
    <w:rsid w:val="00375669"/>
    <w:rsid w:val="00376341"/>
    <w:rsid w:val="003868D4"/>
    <w:rsid w:val="003A240F"/>
    <w:rsid w:val="003A26D4"/>
    <w:rsid w:val="003A2F7C"/>
    <w:rsid w:val="003A680D"/>
    <w:rsid w:val="003D31FD"/>
    <w:rsid w:val="003D7153"/>
    <w:rsid w:val="003E0B25"/>
    <w:rsid w:val="003E4D3C"/>
    <w:rsid w:val="003F73C0"/>
    <w:rsid w:val="00400EB6"/>
    <w:rsid w:val="00405623"/>
    <w:rsid w:val="00430081"/>
    <w:rsid w:val="00432DE7"/>
    <w:rsid w:val="004342DA"/>
    <w:rsid w:val="00435C06"/>
    <w:rsid w:val="004445C8"/>
    <w:rsid w:val="004451E4"/>
    <w:rsid w:val="00445A15"/>
    <w:rsid w:val="00446BFF"/>
    <w:rsid w:val="0045159A"/>
    <w:rsid w:val="00452006"/>
    <w:rsid w:val="004576B4"/>
    <w:rsid w:val="00460CA9"/>
    <w:rsid w:val="00464AA4"/>
    <w:rsid w:val="00473FA3"/>
    <w:rsid w:val="00476DB9"/>
    <w:rsid w:val="00493E60"/>
    <w:rsid w:val="004A3107"/>
    <w:rsid w:val="004A51AB"/>
    <w:rsid w:val="004B2192"/>
    <w:rsid w:val="004C4CB8"/>
    <w:rsid w:val="004F14A0"/>
    <w:rsid w:val="004F64C0"/>
    <w:rsid w:val="0051291F"/>
    <w:rsid w:val="00512D0D"/>
    <w:rsid w:val="00514DC8"/>
    <w:rsid w:val="0051510E"/>
    <w:rsid w:val="005164D0"/>
    <w:rsid w:val="005204E8"/>
    <w:rsid w:val="005330B5"/>
    <w:rsid w:val="00535CA6"/>
    <w:rsid w:val="00540B15"/>
    <w:rsid w:val="00544498"/>
    <w:rsid w:val="00545E7E"/>
    <w:rsid w:val="00554417"/>
    <w:rsid w:val="00565DFB"/>
    <w:rsid w:val="00582850"/>
    <w:rsid w:val="0059147F"/>
    <w:rsid w:val="005970F1"/>
    <w:rsid w:val="005B0846"/>
    <w:rsid w:val="005B1B1D"/>
    <w:rsid w:val="005B4D16"/>
    <w:rsid w:val="005C63E2"/>
    <w:rsid w:val="005C7CAC"/>
    <w:rsid w:val="005D245C"/>
    <w:rsid w:val="005D4A0A"/>
    <w:rsid w:val="005D768E"/>
    <w:rsid w:val="005E7FD2"/>
    <w:rsid w:val="00605D3D"/>
    <w:rsid w:val="00612A62"/>
    <w:rsid w:val="00623183"/>
    <w:rsid w:val="0066134C"/>
    <w:rsid w:val="00662A45"/>
    <w:rsid w:val="006641AF"/>
    <w:rsid w:val="00664F77"/>
    <w:rsid w:val="00665F76"/>
    <w:rsid w:val="00676FF3"/>
    <w:rsid w:val="006870EC"/>
    <w:rsid w:val="00697E7D"/>
    <w:rsid w:val="006B20ED"/>
    <w:rsid w:val="006B4FEE"/>
    <w:rsid w:val="006C0769"/>
    <w:rsid w:val="006C1C11"/>
    <w:rsid w:val="006C20FE"/>
    <w:rsid w:val="006C48FD"/>
    <w:rsid w:val="006D22F3"/>
    <w:rsid w:val="006E15FA"/>
    <w:rsid w:val="006F2033"/>
    <w:rsid w:val="00706DF9"/>
    <w:rsid w:val="007248B5"/>
    <w:rsid w:val="00724CA5"/>
    <w:rsid w:val="00727DA6"/>
    <w:rsid w:val="00730F29"/>
    <w:rsid w:val="00734F0C"/>
    <w:rsid w:val="00750AF6"/>
    <w:rsid w:val="007556CC"/>
    <w:rsid w:val="007658D6"/>
    <w:rsid w:val="007760E9"/>
    <w:rsid w:val="007800D7"/>
    <w:rsid w:val="00782A5D"/>
    <w:rsid w:val="00783261"/>
    <w:rsid w:val="007858BF"/>
    <w:rsid w:val="007870E6"/>
    <w:rsid w:val="00790C73"/>
    <w:rsid w:val="00791B45"/>
    <w:rsid w:val="007926C5"/>
    <w:rsid w:val="007941B0"/>
    <w:rsid w:val="00795B5A"/>
    <w:rsid w:val="007A3925"/>
    <w:rsid w:val="007A61FD"/>
    <w:rsid w:val="007B7E01"/>
    <w:rsid w:val="007C5837"/>
    <w:rsid w:val="007C5FD7"/>
    <w:rsid w:val="007C7821"/>
    <w:rsid w:val="007D3356"/>
    <w:rsid w:val="007E079C"/>
    <w:rsid w:val="007F042B"/>
    <w:rsid w:val="007F54F5"/>
    <w:rsid w:val="00815E97"/>
    <w:rsid w:val="00817CC7"/>
    <w:rsid w:val="0085369F"/>
    <w:rsid w:val="00855BD6"/>
    <w:rsid w:val="00864A0F"/>
    <w:rsid w:val="00871925"/>
    <w:rsid w:val="008838F3"/>
    <w:rsid w:val="00884BB4"/>
    <w:rsid w:val="00890986"/>
    <w:rsid w:val="008923A1"/>
    <w:rsid w:val="008A2678"/>
    <w:rsid w:val="008B2008"/>
    <w:rsid w:val="008B7B44"/>
    <w:rsid w:val="008C324F"/>
    <w:rsid w:val="008D33C3"/>
    <w:rsid w:val="008E2AF8"/>
    <w:rsid w:val="008E7777"/>
    <w:rsid w:val="008F0191"/>
    <w:rsid w:val="008F11FD"/>
    <w:rsid w:val="008F4708"/>
    <w:rsid w:val="00910EA0"/>
    <w:rsid w:val="00913D9A"/>
    <w:rsid w:val="00914B9C"/>
    <w:rsid w:val="009167D8"/>
    <w:rsid w:val="0091714F"/>
    <w:rsid w:val="0091797C"/>
    <w:rsid w:val="0092746E"/>
    <w:rsid w:val="00927878"/>
    <w:rsid w:val="00931312"/>
    <w:rsid w:val="009329C7"/>
    <w:rsid w:val="00945258"/>
    <w:rsid w:val="00946FD1"/>
    <w:rsid w:val="009508B8"/>
    <w:rsid w:val="009603AB"/>
    <w:rsid w:val="00964D10"/>
    <w:rsid w:val="00965A39"/>
    <w:rsid w:val="009719F7"/>
    <w:rsid w:val="009857D9"/>
    <w:rsid w:val="00990CC4"/>
    <w:rsid w:val="009A03E2"/>
    <w:rsid w:val="009B31E8"/>
    <w:rsid w:val="009B4693"/>
    <w:rsid w:val="009B7BCF"/>
    <w:rsid w:val="009C0074"/>
    <w:rsid w:val="009C0AAC"/>
    <w:rsid w:val="009C0F0B"/>
    <w:rsid w:val="009C23C1"/>
    <w:rsid w:val="009C2C19"/>
    <w:rsid w:val="009C54C9"/>
    <w:rsid w:val="009D2C22"/>
    <w:rsid w:val="009D432F"/>
    <w:rsid w:val="009E3D9F"/>
    <w:rsid w:val="009E68AD"/>
    <w:rsid w:val="009F13C9"/>
    <w:rsid w:val="00A076F0"/>
    <w:rsid w:val="00A1098C"/>
    <w:rsid w:val="00A15C99"/>
    <w:rsid w:val="00A2783D"/>
    <w:rsid w:val="00A30522"/>
    <w:rsid w:val="00A3377D"/>
    <w:rsid w:val="00A34AAB"/>
    <w:rsid w:val="00A352FB"/>
    <w:rsid w:val="00A36877"/>
    <w:rsid w:val="00A4431E"/>
    <w:rsid w:val="00A460A7"/>
    <w:rsid w:val="00A4680C"/>
    <w:rsid w:val="00A47281"/>
    <w:rsid w:val="00A51A35"/>
    <w:rsid w:val="00A65B56"/>
    <w:rsid w:val="00A7324D"/>
    <w:rsid w:val="00A7424F"/>
    <w:rsid w:val="00A747DC"/>
    <w:rsid w:val="00A75161"/>
    <w:rsid w:val="00A76A5B"/>
    <w:rsid w:val="00A77E34"/>
    <w:rsid w:val="00A86F62"/>
    <w:rsid w:val="00A927AC"/>
    <w:rsid w:val="00AA6927"/>
    <w:rsid w:val="00AB1925"/>
    <w:rsid w:val="00AC03E6"/>
    <w:rsid w:val="00AC0E29"/>
    <w:rsid w:val="00AC101F"/>
    <w:rsid w:val="00AC13E6"/>
    <w:rsid w:val="00AE0821"/>
    <w:rsid w:val="00AE5FD1"/>
    <w:rsid w:val="00AF0F5E"/>
    <w:rsid w:val="00AF5DA7"/>
    <w:rsid w:val="00B017F5"/>
    <w:rsid w:val="00B053FB"/>
    <w:rsid w:val="00B10442"/>
    <w:rsid w:val="00B20C83"/>
    <w:rsid w:val="00B234E1"/>
    <w:rsid w:val="00B24DF2"/>
    <w:rsid w:val="00B407EE"/>
    <w:rsid w:val="00B41250"/>
    <w:rsid w:val="00B42A4D"/>
    <w:rsid w:val="00B42A8E"/>
    <w:rsid w:val="00B463B7"/>
    <w:rsid w:val="00B54A24"/>
    <w:rsid w:val="00B6600B"/>
    <w:rsid w:val="00B668FA"/>
    <w:rsid w:val="00B7364E"/>
    <w:rsid w:val="00B7680B"/>
    <w:rsid w:val="00B814C8"/>
    <w:rsid w:val="00B822F0"/>
    <w:rsid w:val="00B8451A"/>
    <w:rsid w:val="00B85356"/>
    <w:rsid w:val="00B8624A"/>
    <w:rsid w:val="00B877E3"/>
    <w:rsid w:val="00BA1A50"/>
    <w:rsid w:val="00BA5D13"/>
    <w:rsid w:val="00BB226E"/>
    <w:rsid w:val="00BB730F"/>
    <w:rsid w:val="00BB7750"/>
    <w:rsid w:val="00BC0003"/>
    <w:rsid w:val="00BC1BE1"/>
    <w:rsid w:val="00BC1E68"/>
    <w:rsid w:val="00BC1F48"/>
    <w:rsid w:val="00BC56A1"/>
    <w:rsid w:val="00BC62B6"/>
    <w:rsid w:val="00BC649A"/>
    <w:rsid w:val="00BD1B81"/>
    <w:rsid w:val="00BD444B"/>
    <w:rsid w:val="00BD54DE"/>
    <w:rsid w:val="00BD6ED9"/>
    <w:rsid w:val="00BE17EF"/>
    <w:rsid w:val="00BE1869"/>
    <w:rsid w:val="00BF4B2C"/>
    <w:rsid w:val="00BF6051"/>
    <w:rsid w:val="00C10134"/>
    <w:rsid w:val="00C11678"/>
    <w:rsid w:val="00C440D6"/>
    <w:rsid w:val="00C46417"/>
    <w:rsid w:val="00C663A5"/>
    <w:rsid w:val="00C862E3"/>
    <w:rsid w:val="00C941D5"/>
    <w:rsid w:val="00C9657D"/>
    <w:rsid w:val="00CA2E07"/>
    <w:rsid w:val="00CA4E37"/>
    <w:rsid w:val="00CC07EA"/>
    <w:rsid w:val="00CD5622"/>
    <w:rsid w:val="00CF40D3"/>
    <w:rsid w:val="00CF6A99"/>
    <w:rsid w:val="00D013F6"/>
    <w:rsid w:val="00D03DAB"/>
    <w:rsid w:val="00D041F8"/>
    <w:rsid w:val="00D10502"/>
    <w:rsid w:val="00D1169C"/>
    <w:rsid w:val="00D145A1"/>
    <w:rsid w:val="00D147FE"/>
    <w:rsid w:val="00D15E41"/>
    <w:rsid w:val="00D17F6A"/>
    <w:rsid w:val="00D201D4"/>
    <w:rsid w:val="00D230BC"/>
    <w:rsid w:val="00D23686"/>
    <w:rsid w:val="00D41366"/>
    <w:rsid w:val="00D44CDA"/>
    <w:rsid w:val="00D61984"/>
    <w:rsid w:val="00D61B42"/>
    <w:rsid w:val="00D63265"/>
    <w:rsid w:val="00D67879"/>
    <w:rsid w:val="00D72314"/>
    <w:rsid w:val="00D7714F"/>
    <w:rsid w:val="00D773C7"/>
    <w:rsid w:val="00D82977"/>
    <w:rsid w:val="00D8784B"/>
    <w:rsid w:val="00D947B9"/>
    <w:rsid w:val="00D9511F"/>
    <w:rsid w:val="00D95CD5"/>
    <w:rsid w:val="00DA2A3C"/>
    <w:rsid w:val="00DA36DF"/>
    <w:rsid w:val="00DA4236"/>
    <w:rsid w:val="00DB177C"/>
    <w:rsid w:val="00DC108B"/>
    <w:rsid w:val="00DC4FDB"/>
    <w:rsid w:val="00DD2228"/>
    <w:rsid w:val="00DD4042"/>
    <w:rsid w:val="00DE559D"/>
    <w:rsid w:val="00DE7B0E"/>
    <w:rsid w:val="00E0382D"/>
    <w:rsid w:val="00E11594"/>
    <w:rsid w:val="00E12EB7"/>
    <w:rsid w:val="00E178DA"/>
    <w:rsid w:val="00E27911"/>
    <w:rsid w:val="00E5389F"/>
    <w:rsid w:val="00E555B6"/>
    <w:rsid w:val="00E66333"/>
    <w:rsid w:val="00E71201"/>
    <w:rsid w:val="00E8131A"/>
    <w:rsid w:val="00E81363"/>
    <w:rsid w:val="00E904BB"/>
    <w:rsid w:val="00EA67DE"/>
    <w:rsid w:val="00EB0D64"/>
    <w:rsid w:val="00EB5FC0"/>
    <w:rsid w:val="00EC0F98"/>
    <w:rsid w:val="00EC777F"/>
    <w:rsid w:val="00EC7938"/>
    <w:rsid w:val="00ED596A"/>
    <w:rsid w:val="00EE57CE"/>
    <w:rsid w:val="00EF0051"/>
    <w:rsid w:val="00EF50FC"/>
    <w:rsid w:val="00EF6381"/>
    <w:rsid w:val="00F10C5A"/>
    <w:rsid w:val="00F11A27"/>
    <w:rsid w:val="00F125F0"/>
    <w:rsid w:val="00F15DA8"/>
    <w:rsid w:val="00F21CBE"/>
    <w:rsid w:val="00F3638B"/>
    <w:rsid w:val="00F53266"/>
    <w:rsid w:val="00F6256A"/>
    <w:rsid w:val="00F64043"/>
    <w:rsid w:val="00F65A64"/>
    <w:rsid w:val="00F81254"/>
    <w:rsid w:val="00FA35CB"/>
    <w:rsid w:val="00FA3C5D"/>
    <w:rsid w:val="00FA5D7C"/>
    <w:rsid w:val="00FB5D72"/>
    <w:rsid w:val="00FB68DD"/>
    <w:rsid w:val="00FD2815"/>
    <w:rsid w:val="00FD30E2"/>
    <w:rsid w:val="00FE402B"/>
    <w:rsid w:val="00FF0305"/>
    <w:rsid w:val="00FF1029"/>
    <w:rsid w:val="00FF1A6C"/>
    <w:rsid w:val="00FF37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09D77"/>
  <w15:docId w15:val="{3BC1AA5A-A6B4-419B-B06E-FDAFFC7B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s-MX"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A99"/>
  </w:style>
  <w:style w:type="paragraph" w:styleId="Ttulo1">
    <w:name w:val="heading 1"/>
    <w:basedOn w:val="Normal"/>
    <w:next w:val="Normal"/>
    <w:link w:val="Ttulo1Car"/>
    <w:uiPriority w:val="9"/>
    <w:qFormat/>
    <w:rsid w:val="00CF6A99"/>
    <w:pPr>
      <w:pBdr>
        <w:bottom w:val="thinThickSmallGap" w:sz="12" w:space="1" w:color="1E5E9F" w:themeColor="accent2" w:themeShade="BF"/>
      </w:pBdr>
      <w:spacing w:before="400"/>
      <w:jc w:val="center"/>
      <w:outlineLvl w:val="0"/>
    </w:pPr>
    <w:rPr>
      <w:caps/>
      <w:color w:val="143F6A" w:themeColor="accent2" w:themeShade="80"/>
      <w:spacing w:val="20"/>
      <w:sz w:val="28"/>
      <w:szCs w:val="28"/>
    </w:rPr>
  </w:style>
  <w:style w:type="paragraph" w:styleId="Ttulo2">
    <w:name w:val="heading 2"/>
    <w:basedOn w:val="Normal"/>
    <w:next w:val="Normal"/>
    <w:link w:val="Ttulo2Car"/>
    <w:uiPriority w:val="9"/>
    <w:semiHidden/>
    <w:unhideWhenUsed/>
    <w:qFormat/>
    <w:rsid w:val="00CF6A99"/>
    <w:pPr>
      <w:pBdr>
        <w:bottom w:val="single" w:sz="4" w:space="1" w:color="143E69" w:themeColor="accent2" w:themeShade="7F"/>
      </w:pBdr>
      <w:spacing w:before="400"/>
      <w:jc w:val="center"/>
      <w:outlineLvl w:val="1"/>
    </w:pPr>
    <w:rPr>
      <w:caps/>
      <w:color w:val="143F6A" w:themeColor="accent2" w:themeShade="80"/>
      <w:spacing w:val="15"/>
      <w:sz w:val="24"/>
      <w:szCs w:val="24"/>
    </w:rPr>
  </w:style>
  <w:style w:type="paragraph" w:styleId="Ttulo3">
    <w:name w:val="heading 3"/>
    <w:basedOn w:val="Normal"/>
    <w:next w:val="Normal"/>
    <w:link w:val="Ttulo3Car"/>
    <w:uiPriority w:val="9"/>
    <w:semiHidden/>
    <w:unhideWhenUsed/>
    <w:qFormat/>
    <w:rsid w:val="00CF6A99"/>
    <w:pPr>
      <w:pBdr>
        <w:top w:val="dotted" w:sz="4" w:space="1" w:color="143E69" w:themeColor="accent2" w:themeShade="7F"/>
        <w:bottom w:val="dotted" w:sz="4" w:space="1" w:color="143E69" w:themeColor="accent2" w:themeShade="7F"/>
      </w:pBdr>
      <w:spacing w:before="300"/>
      <w:jc w:val="center"/>
      <w:outlineLvl w:val="2"/>
    </w:pPr>
    <w:rPr>
      <w:caps/>
      <w:color w:val="143E69" w:themeColor="accent2" w:themeShade="7F"/>
      <w:sz w:val="24"/>
      <w:szCs w:val="24"/>
    </w:rPr>
  </w:style>
  <w:style w:type="paragraph" w:styleId="Ttulo4">
    <w:name w:val="heading 4"/>
    <w:basedOn w:val="Normal"/>
    <w:next w:val="Normal"/>
    <w:link w:val="Ttulo4Car"/>
    <w:uiPriority w:val="9"/>
    <w:semiHidden/>
    <w:unhideWhenUsed/>
    <w:qFormat/>
    <w:rsid w:val="00CF6A99"/>
    <w:pPr>
      <w:pBdr>
        <w:bottom w:val="dotted" w:sz="4" w:space="1" w:color="1E5E9F" w:themeColor="accent2" w:themeShade="BF"/>
      </w:pBdr>
      <w:spacing w:after="120"/>
      <w:jc w:val="center"/>
      <w:outlineLvl w:val="3"/>
    </w:pPr>
    <w:rPr>
      <w:caps/>
      <w:color w:val="143E69" w:themeColor="accent2" w:themeShade="7F"/>
      <w:spacing w:val="10"/>
    </w:rPr>
  </w:style>
  <w:style w:type="paragraph" w:styleId="Ttulo5">
    <w:name w:val="heading 5"/>
    <w:basedOn w:val="Normal"/>
    <w:next w:val="Normal"/>
    <w:link w:val="Ttulo5Car"/>
    <w:uiPriority w:val="9"/>
    <w:semiHidden/>
    <w:unhideWhenUsed/>
    <w:qFormat/>
    <w:rsid w:val="00CF6A99"/>
    <w:pPr>
      <w:spacing w:before="320" w:after="120"/>
      <w:jc w:val="center"/>
      <w:outlineLvl w:val="4"/>
    </w:pPr>
    <w:rPr>
      <w:caps/>
      <w:color w:val="143E69" w:themeColor="accent2" w:themeShade="7F"/>
      <w:spacing w:val="10"/>
    </w:rPr>
  </w:style>
  <w:style w:type="paragraph" w:styleId="Ttulo6">
    <w:name w:val="heading 6"/>
    <w:basedOn w:val="Normal"/>
    <w:next w:val="Normal"/>
    <w:link w:val="Ttulo6Car"/>
    <w:uiPriority w:val="9"/>
    <w:semiHidden/>
    <w:unhideWhenUsed/>
    <w:qFormat/>
    <w:rsid w:val="00CF6A99"/>
    <w:pPr>
      <w:spacing w:after="120"/>
      <w:jc w:val="center"/>
      <w:outlineLvl w:val="5"/>
    </w:pPr>
    <w:rPr>
      <w:caps/>
      <w:color w:val="1E5E9F" w:themeColor="accent2" w:themeShade="BF"/>
      <w:spacing w:val="10"/>
    </w:rPr>
  </w:style>
  <w:style w:type="paragraph" w:styleId="Ttulo7">
    <w:name w:val="heading 7"/>
    <w:basedOn w:val="Normal"/>
    <w:next w:val="Normal"/>
    <w:link w:val="Ttulo7Car"/>
    <w:uiPriority w:val="9"/>
    <w:semiHidden/>
    <w:unhideWhenUsed/>
    <w:qFormat/>
    <w:rsid w:val="00CF6A99"/>
    <w:pPr>
      <w:spacing w:after="120"/>
      <w:jc w:val="center"/>
      <w:outlineLvl w:val="6"/>
    </w:pPr>
    <w:rPr>
      <w:i/>
      <w:iCs/>
      <w:caps/>
      <w:color w:val="1E5E9F" w:themeColor="accent2" w:themeShade="BF"/>
      <w:spacing w:val="10"/>
    </w:rPr>
  </w:style>
  <w:style w:type="paragraph" w:styleId="Ttulo8">
    <w:name w:val="heading 8"/>
    <w:basedOn w:val="Normal"/>
    <w:next w:val="Normal"/>
    <w:link w:val="Ttulo8Car"/>
    <w:uiPriority w:val="9"/>
    <w:semiHidden/>
    <w:unhideWhenUsed/>
    <w:qFormat/>
    <w:rsid w:val="00CF6A99"/>
    <w:pPr>
      <w:spacing w:after="120"/>
      <w:jc w:val="center"/>
      <w:outlineLvl w:val="7"/>
    </w:pPr>
    <w:rPr>
      <w:caps/>
      <w:spacing w:val="10"/>
      <w:sz w:val="20"/>
      <w:szCs w:val="20"/>
    </w:rPr>
  </w:style>
  <w:style w:type="paragraph" w:styleId="Ttulo9">
    <w:name w:val="heading 9"/>
    <w:basedOn w:val="Normal"/>
    <w:next w:val="Normal"/>
    <w:link w:val="Ttulo9Car"/>
    <w:uiPriority w:val="9"/>
    <w:semiHidden/>
    <w:unhideWhenUsed/>
    <w:qFormat/>
    <w:rsid w:val="00CF6A99"/>
    <w:pPr>
      <w:spacing w:after="120"/>
      <w:jc w:val="center"/>
      <w:outlineLvl w:val="8"/>
    </w:pPr>
    <w:rPr>
      <w:i/>
      <w:iCs/>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6A99"/>
    <w:rPr>
      <w:caps/>
      <w:color w:val="143F6A" w:themeColor="accent2" w:themeShade="80"/>
      <w:spacing w:val="20"/>
      <w:sz w:val="28"/>
      <w:szCs w:val="28"/>
    </w:rPr>
  </w:style>
  <w:style w:type="character" w:customStyle="1" w:styleId="Ttulo2Car">
    <w:name w:val="Título 2 Car"/>
    <w:basedOn w:val="Fuentedeprrafopredeter"/>
    <w:link w:val="Ttulo2"/>
    <w:uiPriority w:val="9"/>
    <w:semiHidden/>
    <w:rsid w:val="00CF6A99"/>
    <w:rPr>
      <w:caps/>
      <w:color w:val="143F6A" w:themeColor="accent2" w:themeShade="80"/>
      <w:spacing w:val="15"/>
      <w:sz w:val="24"/>
      <w:szCs w:val="24"/>
    </w:rPr>
  </w:style>
  <w:style w:type="character" w:customStyle="1" w:styleId="Ttulo3Car">
    <w:name w:val="Título 3 Car"/>
    <w:basedOn w:val="Fuentedeprrafopredeter"/>
    <w:link w:val="Ttulo3"/>
    <w:uiPriority w:val="9"/>
    <w:semiHidden/>
    <w:rsid w:val="00CF6A99"/>
    <w:rPr>
      <w:caps/>
      <w:color w:val="143E69" w:themeColor="accent2" w:themeShade="7F"/>
      <w:sz w:val="24"/>
      <w:szCs w:val="24"/>
    </w:rPr>
  </w:style>
  <w:style w:type="character" w:customStyle="1" w:styleId="Ttulo4Car">
    <w:name w:val="Título 4 Car"/>
    <w:basedOn w:val="Fuentedeprrafopredeter"/>
    <w:link w:val="Ttulo4"/>
    <w:uiPriority w:val="9"/>
    <w:semiHidden/>
    <w:rsid w:val="00CF6A99"/>
    <w:rPr>
      <w:caps/>
      <w:color w:val="143E69" w:themeColor="accent2" w:themeShade="7F"/>
      <w:spacing w:val="10"/>
    </w:rPr>
  </w:style>
  <w:style w:type="character" w:customStyle="1" w:styleId="Ttulo5Car">
    <w:name w:val="Título 5 Car"/>
    <w:basedOn w:val="Fuentedeprrafopredeter"/>
    <w:link w:val="Ttulo5"/>
    <w:uiPriority w:val="9"/>
    <w:semiHidden/>
    <w:rsid w:val="00CF6A99"/>
    <w:rPr>
      <w:caps/>
      <w:color w:val="143E69" w:themeColor="accent2" w:themeShade="7F"/>
      <w:spacing w:val="10"/>
    </w:rPr>
  </w:style>
  <w:style w:type="character" w:customStyle="1" w:styleId="Ttulo6Car">
    <w:name w:val="Título 6 Car"/>
    <w:basedOn w:val="Fuentedeprrafopredeter"/>
    <w:link w:val="Ttulo6"/>
    <w:uiPriority w:val="9"/>
    <w:semiHidden/>
    <w:rsid w:val="00CF6A99"/>
    <w:rPr>
      <w:caps/>
      <w:color w:val="1E5E9F" w:themeColor="accent2" w:themeShade="BF"/>
      <w:spacing w:val="10"/>
    </w:rPr>
  </w:style>
  <w:style w:type="character" w:customStyle="1" w:styleId="Ttulo7Car">
    <w:name w:val="Título 7 Car"/>
    <w:basedOn w:val="Fuentedeprrafopredeter"/>
    <w:link w:val="Ttulo7"/>
    <w:uiPriority w:val="9"/>
    <w:semiHidden/>
    <w:rsid w:val="00CF6A99"/>
    <w:rPr>
      <w:i/>
      <w:iCs/>
      <w:caps/>
      <w:color w:val="1E5E9F" w:themeColor="accent2" w:themeShade="BF"/>
      <w:spacing w:val="10"/>
    </w:rPr>
  </w:style>
  <w:style w:type="character" w:customStyle="1" w:styleId="Ttulo8Car">
    <w:name w:val="Título 8 Car"/>
    <w:basedOn w:val="Fuentedeprrafopredeter"/>
    <w:link w:val="Ttulo8"/>
    <w:uiPriority w:val="9"/>
    <w:semiHidden/>
    <w:rsid w:val="00CF6A99"/>
    <w:rPr>
      <w:caps/>
      <w:spacing w:val="10"/>
      <w:sz w:val="20"/>
      <w:szCs w:val="20"/>
    </w:rPr>
  </w:style>
  <w:style w:type="character" w:customStyle="1" w:styleId="Ttulo9Car">
    <w:name w:val="Título 9 Car"/>
    <w:basedOn w:val="Fuentedeprrafopredeter"/>
    <w:link w:val="Ttulo9"/>
    <w:uiPriority w:val="9"/>
    <w:semiHidden/>
    <w:rsid w:val="00CF6A99"/>
    <w:rPr>
      <w:i/>
      <w:iCs/>
      <w:caps/>
      <w:spacing w:val="10"/>
      <w:sz w:val="20"/>
      <w:szCs w:val="20"/>
    </w:rPr>
  </w:style>
  <w:style w:type="paragraph" w:styleId="Descripcin">
    <w:name w:val="caption"/>
    <w:basedOn w:val="Normal"/>
    <w:next w:val="Normal"/>
    <w:uiPriority w:val="35"/>
    <w:semiHidden/>
    <w:unhideWhenUsed/>
    <w:qFormat/>
    <w:rsid w:val="00CF6A99"/>
    <w:rPr>
      <w:caps/>
      <w:spacing w:val="10"/>
      <w:sz w:val="18"/>
      <w:szCs w:val="18"/>
    </w:rPr>
  </w:style>
  <w:style w:type="paragraph" w:styleId="Ttulo">
    <w:name w:val="Title"/>
    <w:basedOn w:val="Normal"/>
    <w:next w:val="Normal"/>
    <w:link w:val="TtuloCar"/>
    <w:uiPriority w:val="10"/>
    <w:qFormat/>
    <w:rsid w:val="00CF6A99"/>
    <w:pPr>
      <w:pBdr>
        <w:top w:val="dotted" w:sz="2" w:space="1" w:color="143F6A" w:themeColor="accent2" w:themeShade="80"/>
        <w:bottom w:val="dotted" w:sz="2" w:space="6" w:color="143F6A" w:themeColor="accent2" w:themeShade="80"/>
      </w:pBdr>
      <w:spacing w:before="500" w:after="300" w:line="240" w:lineRule="auto"/>
      <w:jc w:val="center"/>
    </w:pPr>
    <w:rPr>
      <w:caps/>
      <w:color w:val="143F6A" w:themeColor="accent2" w:themeShade="80"/>
      <w:spacing w:val="50"/>
      <w:sz w:val="44"/>
      <w:szCs w:val="44"/>
    </w:rPr>
  </w:style>
  <w:style w:type="character" w:customStyle="1" w:styleId="TtuloCar">
    <w:name w:val="Título Car"/>
    <w:basedOn w:val="Fuentedeprrafopredeter"/>
    <w:link w:val="Ttulo"/>
    <w:uiPriority w:val="10"/>
    <w:rsid w:val="00CF6A99"/>
    <w:rPr>
      <w:caps/>
      <w:color w:val="143F6A" w:themeColor="accent2" w:themeShade="80"/>
      <w:spacing w:val="50"/>
      <w:sz w:val="44"/>
      <w:szCs w:val="44"/>
    </w:rPr>
  </w:style>
  <w:style w:type="paragraph" w:styleId="Subttulo">
    <w:name w:val="Subtitle"/>
    <w:basedOn w:val="Normal"/>
    <w:next w:val="Normal"/>
    <w:link w:val="SubttuloCar"/>
    <w:uiPriority w:val="11"/>
    <w:qFormat/>
    <w:rsid w:val="00CF6A99"/>
    <w:pPr>
      <w:spacing w:after="560" w:line="240" w:lineRule="auto"/>
      <w:jc w:val="center"/>
    </w:pPr>
    <w:rPr>
      <w:caps/>
      <w:spacing w:val="20"/>
      <w:sz w:val="18"/>
      <w:szCs w:val="18"/>
    </w:rPr>
  </w:style>
  <w:style w:type="character" w:customStyle="1" w:styleId="SubttuloCar">
    <w:name w:val="Subtítulo Car"/>
    <w:basedOn w:val="Fuentedeprrafopredeter"/>
    <w:link w:val="Subttulo"/>
    <w:uiPriority w:val="11"/>
    <w:rsid w:val="00CF6A99"/>
    <w:rPr>
      <w:caps/>
      <w:spacing w:val="20"/>
      <w:sz w:val="18"/>
      <w:szCs w:val="18"/>
    </w:rPr>
  </w:style>
  <w:style w:type="character" w:styleId="Textoennegrita">
    <w:name w:val="Strong"/>
    <w:uiPriority w:val="22"/>
    <w:qFormat/>
    <w:rsid w:val="00CF6A99"/>
    <w:rPr>
      <w:b/>
      <w:bCs/>
      <w:color w:val="1E5E9F" w:themeColor="accent2" w:themeShade="BF"/>
      <w:spacing w:val="5"/>
    </w:rPr>
  </w:style>
  <w:style w:type="character" w:styleId="nfasis">
    <w:name w:val="Emphasis"/>
    <w:uiPriority w:val="20"/>
    <w:qFormat/>
    <w:rsid w:val="00CF6A99"/>
    <w:rPr>
      <w:caps/>
      <w:spacing w:val="5"/>
      <w:sz w:val="20"/>
      <w:szCs w:val="20"/>
    </w:rPr>
  </w:style>
  <w:style w:type="paragraph" w:styleId="Sinespaciado">
    <w:name w:val="No Spacing"/>
    <w:basedOn w:val="Normal"/>
    <w:link w:val="SinespaciadoCar"/>
    <w:uiPriority w:val="1"/>
    <w:qFormat/>
    <w:rsid w:val="00CF6A99"/>
    <w:pPr>
      <w:spacing w:after="0" w:line="240" w:lineRule="auto"/>
    </w:pPr>
  </w:style>
  <w:style w:type="paragraph" w:styleId="Prrafodelista">
    <w:name w:val="List Paragraph"/>
    <w:basedOn w:val="Normal"/>
    <w:uiPriority w:val="34"/>
    <w:qFormat/>
    <w:rsid w:val="00CF6A99"/>
    <w:pPr>
      <w:ind w:left="720"/>
      <w:contextualSpacing/>
    </w:pPr>
  </w:style>
  <w:style w:type="paragraph" w:styleId="Cita">
    <w:name w:val="Quote"/>
    <w:basedOn w:val="Normal"/>
    <w:next w:val="Normal"/>
    <w:link w:val="CitaCar"/>
    <w:uiPriority w:val="29"/>
    <w:qFormat/>
    <w:rsid w:val="00CF6A99"/>
    <w:rPr>
      <w:i/>
      <w:iCs/>
    </w:rPr>
  </w:style>
  <w:style w:type="character" w:customStyle="1" w:styleId="CitaCar">
    <w:name w:val="Cita Car"/>
    <w:basedOn w:val="Fuentedeprrafopredeter"/>
    <w:link w:val="Cita"/>
    <w:uiPriority w:val="29"/>
    <w:rsid w:val="00CF6A99"/>
    <w:rPr>
      <w:i/>
      <w:iCs/>
    </w:rPr>
  </w:style>
  <w:style w:type="paragraph" w:styleId="Citadestacada">
    <w:name w:val="Intense Quote"/>
    <w:basedOn w:val="Normal"/>
    <w:next w:val="Normal"/>
    <w:link w:val="CitadestacadaCar"/>
    <w:uiPriority w:val="30"/>
    <w:qFormat/>
    <w:rsid w:val="00CF6A99"/>
    <w:pPr>
      <w:pBdr>
        <w:top w:val="dotted" w:sz="2" w:space="10" w:color="143F6A" w:themeColor="accent2" w:themeShade="80"/>
        <w:bottom w:val="dotted" w:sz="2" w:space="4" w:color="143F6A" w:themeColor="accent2" w:themeShade="80"/>
      </w:pBdr>
      <w:spacing w:before="160" w:line="300" w:lineRule="auto"/>
      <w:ind w:left="1440" w:right="1440"/>
    </w:pPr>
    <w:rPr>
      <w:caps/>
      <w:color w:val="143E69" w:themeColor="accent2" w:themeShade="7F"/>
      <w:spacing w:val="5"/>
      <w:sz w:val="20"/>
      <w:szCs w:val="20"/>
    </w:rPr>
  </w:style>
  <w:style w:type="character" w:customStyle="1" w:styleId="CitadestacadaCar">
    <w:name w:val="Cita destacada Car"/>
    <w:basedOn w:val="Fuentedeprrafopredeter"/>
    <w:link w:val="Citadestacada"/>
    <w:uiPriority w:val="30"/>
    <w:rsid w:val="00CF6A99"/>
    <w:rPr>
      <w:caps/>
      <w:color w:val="143E69" w:themeColor="accent2" w:themeShade="7F"/>
      <w:spacing w:val="5"/>
      <w:sz w:val="20"/>
      <w:szCs w:val="20"/>
    </w:rPr>
  </w:style>
  <w:style w:type="character" w:styleId="nfasissutil">
    <w:name w:val="Subtle Emphasis"/>
    <w:uiPriority w:val="19"/>
    <w:qFormat/>
    <w:rsid w:val="00CF6A99"/>
    <w:rPr>
      <w:i/>
      <w:iCs/>
    </w:rPr>
  </w:style>
  <w:style w:type="character" w:styleId="nfasisintenso">
    <w:name w:val="Intense Emphasis"/>
    <w:uiPriority w:val="21"/>
    <w:qFormat/>
    <w:rsid w:val="00CF6A99"/>
    <w:rPr>
      <w:i/>
      <w:iCs/>
      <w:caps/>
      <w:spacing w:val="10"/>
      <w:sz w:val="20"/>
      <w:szCs w:val="20"/>
    </w:rPr>
  </w:style>
  <w:style w:type="character" w:styleId="Referenciasutil">
    <w:name w:val="Subtle Reference"/>
    <w:basedOn w:val="Fuentedeprrafopredeter"/>
    <w:uiPriority w:val="31"/>
    <w:qFormat/>
    <w:rsid w:val="00CF6A99"/>
    <w:rPr>
      <w:rFonts w:asciiTheme="minorHAnsi" w:eastAsiaTheme="minorEastAsia" w:hAnsiTheme="minorHAnsi" w:cstheme="minorBidi"/>
      <w:i/>
      <w:iCs/>
      <w:color w:val="143E69" w:themeColor="accent2" w:themeShade="7F"/>
    </w:rPr>
  </w:style>
  <w:style w:type="character" w:styleId="Referenciaintensa">
    <w:name w:val="Intense Reference"/>
    <w:uiPriority w:val="32"/>
    <w:qFormat/>
    <w:rsid w:val="00CF6A99"/>
    <w:rPr>
      <w:rFonts w:asciiTheme="minorHAnsi" w:eastAsiaTheme="minorEastAsia" w:hAnsiTheme="minorHAnsi" w:cstheme="minorBidi"/>
      <w:b/>
      <w:bCs/>
      <w:i/>
      <w:iCs/>
      <w:color w:val="143E69" w:themeColor="accent2" w:themeShade="7F"/>
    </w:rPr>
  </w:style>
  <w:style w:type="character" w:styleId="Ttulodellibro">
    <w:name w:val="Book Title"/>
    <w:uiPriority w:val="33"/>
    <w:qFormat/>
    <w:rsid w:val="00CF6A99"/>
    <w:rPr>
      <w:caps/>
      <w:color w:val="143E69" w:themeColor="accent2" w:themeShade="7F"/>
      <w:spacing w:val="5"/>
      <w:u w:color="143E69" w:themeColor="accent2" w:themeShade="7F"/>
    </w:rPr>
  </w:style>
  <w:style w:type="paragraph" w:styleId="TtuloTDC">
    <w:name w:val="TOC Heading"/>
    <w:basedOn w:val="Ttulo1"/>
    <w:next w:val="Normal"/>
    <w:uiPriority w:val="39"/>
    <w:semiHidden/>
    <w:unhideWhenUsed/>
    <w:qFormat/>
    <w:rsid w:val="00CF6A99"/>
    <w:pPr>
      <w:outlineLvl w:val="9"/>
    </w:pPr>
    <w:rPr>
      <w:lang w:bidi="en-US"/>
    </w:rPr>
  </w:style>
  <w:style w:type="character" w:customStyle="1" w:styleId="SinespaciadoCar">
    <w:name w:val="Sin espaciado Car"/>
    <w:basedOn w:val="Fuentedeprrafopredeter"/>
    <w:link w:val="Sinespaciado"/>
    <w:uiPriority w:val="1"/>
    <w:rsid w:val="00CF6A99"/>
  </w:style>
  <w:style w:type="paragraph" w:styleId="Textodeglobo">
    <w:name w:val="Balloon Text"/>
    <w:basedOn w:val="Normal"/>
    <w:link w:val="TextodegloboCar"/>
    <w:uiPriority w:val="99"/>
    <w:semiHidden/>
    <w:unhideWhenUsed/>
    <w:rsid w:val="00CF6A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6A99"/>
    <w:rPr>
      <w:rFonts w:ascii="Tahoma" w:hAnsi="Tahoma" w:cs="Tahoma"/>
      <w:sz w:val="16"/>
      <w:szCs w:val="16"/>
    </w:rPr>
  </w:style>
  <w:style w:type="paragraph" w:customStyle="1" w:styleId="Texto">
    <w:name w:val="Texto"/>
    <w:basedOn w:val="Normal"/>
    <w:link w:val="TextoCar"/>
    <w:qFormat/>
    <w:rsid w:val="00CF6A99"/>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link w:val="ROMANOSCar"/>
    <w:rsid w:val="00CF6A99"/>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CF6A99"/>
    <w:pPr>
      <w:spacing w:after="101" w:line="216" w:lineRule="exact"/>
      <w:ind w:left="1080" w:hanging="360"/>
      <w:jc w:val="both"/>
    </w:pPr>
    <w:rPr>
      <w:rFonts w:ascii="Arial" w:eastAsia="Times New Roman" w:hAnsi="Arial" w:cs="Arial"/>
      <w:sz w:val="18"/>
      <w:szCs w:val="18"/>
      <w:lang w:val="es-ES" w:eastAsia="es-ES"/>
    </w:rPr>
  </w:style>
  <w:style w:type="paragraph" w:customStyle="1" w:styleId="texto0">
    <w:name w:val="texto"/>
    <w:basedOn w:val="Normal"/>
    <w:rsid w:val="00CF6A99"/>
    <w:pPr>
      <w:spacing w:after="101" w:line="216" w:lineRule="exact"/>
      <w:ind w:firstLine="288"/>
      <w:jc w:val="both"/>
    </w:pPr>
    <w:rPr>
      <w:rFonts w:ascii="Arial" w:eastAsia="Times New Roman" w:hAnsi="Arial" w:cs="Arial"/>
      <w:sz w:val="18"/>
      <w:szCs w:val="18"/>
      <w:lang w:eastAsia="es-MX"/>
    </w:rPr>
  </w:style>
  <w:style w:type="character" w:styleId="Refdenotaalpie">
    <w:name w:val="footnote reference"/>
    <w:uiPriority w:val="99"/>
    <w:rsid w:val="00CF6A99"/>
    <w:rPr>
      <w:vertAlign w:val="superscript"/>
    </w:rPr>
  </w:style>
  <w:style w:type="character" w:customStyle="1" w:styleId="TextoCar">
    <w:name w:val="Texto Car"/>
    <w:link w:val="Texto"/>
    <w:locked/>
    <w:rsid w:val="00CF6A99"/>
    <w:rPr>
      <w:rFonts w:ascii="Arial" w:eastAsia="Times New Roman" w:hAnsi="Arial" w:cs="Arial"/>
      <w:sz w:val="18"/>
      <w:szCs w:val="20"/>
      <w:lang w:val="es-ES" w:eastAsia="es-ES"/>
    </w:rPr>
  </w:style>
  <w:style w:type="character" w:customStyle="1" w:styleId="ROMANOSCar">
    <w:name w:val="ROMANOS Car"/>
    <w:link w:val="ROMANOS"/>
    <w:locked/>
    <w:rsid w:val="00CF6A99"/>
    <w:rPr>
      <w:rFonts w:ascii="Arial" w:eastAsia="Times New Roman" w:hAnsi="Arial" w:cs="Arial"/>
      <w:sz w:val="18"/>
      <w:szCs w:val="18"/>
      <w:lang w:val="es-ES" w:eastAsia="es-ES"/>
    </w:rPr>
  </w:style>
  <w:style w:type="table" w:customStyle="1" w:styleId="1">
    <w:name w:val="1"/>
    <w:basedOn w:val="Tablanormal"/>
    <w:rsid w:val="00BA1A50"/>
    <w:pPr>
      <w:spacing w:after="120" w:line="276" w:lineRule="auto"/>
    </w:pPr>
    <w:rPr>
      <w:rFonts w:ascii="Times New Roman" w:eastAsia="Times New Roman" w:hAnsi="Times New Roman" w:cs="Times New Roman"/>
      <w:color w:val="000000"/>
      <w:sz w:val="20"/>
      <w:szCs w:val="20"/>
      <w:lang w:eastAsia="es-MX"/>
    </w:rPr>
    <w:tblPr>
      <w:tblStyleRowBandSize w:val="1"/>
      <w:tblStyleColBandSize w:val="1"/>
      <w:tblInd w:w="0" w:type="nil"/>
      <w:tblCellMar>
        <w:left w:w="115" w:type="dxa"/>
        <w:right w:w="115" w:type="dxa"/>
      </w:tblCellMar>
    </w:tblPr>
  </w:style>
  <w:style w:type="paragraph" w:styleId="Encabezado">
    <w:name w:val="header"/>
    <w:basedOn w:val="Normal"/>
    <w:link w:val="EncabezadoCar"/>
    <w:uiPriority w:val="99"/>
    <w:unhideWhenUsed/>
    <w:rsid w:val="003475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7598"/>
  </w:style>
  <w:style w:type="paragraph" w:styleId="Piedepgina">
    <w:name w:val="footer"/>
    <w:basedOn w:val="Normal"/>
    <w:link w:val="PiedepginaCar"/>
    <w:uiPriority w:val="99"/>
    <w:unhideWhenUsed/>
    <w:rsid w:val="003475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7598"/>
  </w:style>
  <w:style w:type="paragraph" w:styleId="NormalWeb">
    <w:name w:val="Normal (Web)"/>
    <w:basedOn w:val="Normal"/>
    <w:uiPriority w:val="99"/>
    <w:unhideWhenUsed/>
    <w:rsid w:val="007658D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7658D6"/>
    <w:rPr>
      <w:color w:val="0000FF"/>
      <w:u w:val="single"/>
    </w:rPr>
  </w:style>
  <w:style w:type="table" w:styleId="Tablaconcuadrcula">
    <w:name w:val="Table Grid"/>
    <w:basedOn w:val="Tablanormal"/>
    <w:uiPriority w:val="59"/>
    <w:rsid w:val="008A2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770">
      <w:bodyDiv w:val="1"/>
      <w:marLeft w:val="0"/>
      <w:marRight w:val="0"/>
      <w:marTop w:val="0"/>
      <w:marBottom w:val="0"/>
      <w:divBdr>
        <w:top w:val="none" w:sz="0" w:space="0" w:color="auto"/>
        <w:left w:val="none" w:sz="0" w:space="0" w:color="auto"/>
        <w:bottom w:val="none" w:sz="0" w:space="0" w:color="auto"/>
        <w:right w:val="none" w:sz="0" w:space="0" w:color="auto"/>
      </w:divBdr>
    </w:div>
    <w:div w:id="188370891">
      <w:bodyDiv w:val="1"/>
      <w:marLeft w:val="0"/>
      <w:marRight w:val="0"/>
      <w:marTop w:val="0"/>
      <w:marBottom w:val="0"/>
      <w:divBdr>
        <w:top w:val="none" w:sz="0" w:space="0" w:color="auto"/>
        <w:left w:val="none" w:sz="0" w:space="0" w:color="auto"/>
        <w:bottom w:val="none" w:sz="0" w:space="0" w:color="auto"/>
        <w:right w:val="none" w:sz="0" w:space="0" w:color="auto"/>
      </w:divBdr>
    </w:div>
    <w:div w:id="752897244">
      <w:bodyDiv w:val="1"/>
      <w:marLeft w:val="0"/>
      <w:marRight w:val="0"/>
      <w:marTop w:val="0"/>
      <w:marBottom w:val="0"/>
      <w:divBdr>
        <w:top w:val="none" w:sz="0" w:space="0" w:color="auto"/>
        <w:left w:val="none" w:sz="0" w:space="0" w:color="auto"/>
        <w:bottom w:val="none" w:sz="0" w:space="0" w:color="auto"/>
        <w:right w:val="none" w:sz="0" w:space="0" w:color="auto"/>
      </w:divBdr>
    </w:div>
    <w:div w:id="897323827">
      <w:bodyDiv w:val="1"/>
      <w:marLeft w:val="0"/>
      <w:marRight w:val="0"/>
      <w:marTop w:val="0"/>
      <w:marBottom w:val="0"/>
      <w:divBdr>
        <w:top w:val="none" w:sz="0" w:space="0" w:color="auto"/>
        <w:left w:val="none" w:sz="0" w:space="0" w:color="auto"/>
        <w:bottom w:val="none" w:sz="0" w:space="0" w:color="auto"/>
        <w:right w:val="none" w:sz="0" w:space="0" w:color="auto"/>
      </w:divBdr>
    </w:div>
    <w:div w:id="1049917005">
      <w:bodyDiv w:val="1"/>
      <w:marLeft w:val="0"/>
      <w:marRight w:val="0"/>
      <w:marTop w:val="0"/>
      <w:marBottom w:val="0"/>
      <w:divBdr>
        <w:top w:val="none" w:sz="0" w:space="0" w:color="auto"/>
        <w:left w:val="none" w:sz="0" w:space="0" w:color="auto"/>
        <w:bottom w:val="none" w:sz="0" w:space="0" w:color="auto"/>
        <w:right w:val="none" w:sz="0" w:space="0" w:color="auto"/>
      </w:divBdr>
    </w:div>
    <w:div w:id="1200895487">
      <w:bodyDiv w:val="1"/>
      <w:marLeft w:val="0"/>
      <w:marRight w:val="0"/>
      <w:marTop w:val="0"/>
      <w:marBottom w:val="0"/>
      <w:divBdr>
        <w:top w:val="none" w:sz="0" w:space="0" w:color="auto"/>
        <w:left w:val="none" w:sz="0" w:space="0" w:color="auto"/>
        <w:bottom w:val="none" w:sz="0" w:space="0" w:color="auto"/>
        <w:right w:val="none" w:sz="0" w:space="0" w:color="auto"/>
      </w:divBdr>
    </w:div>
    <w:div w:id="1336763496">
      <w:bodyDiv w:val="1"/>
      <w:marLeft w:val="0"/>
      <w:marRight w:val="0"/>
      <w:marTop w:val="0"/>
      <w:marBottom w:val="0"/>
      <w:divBdr>
        <w:top w:val="none" w:sz="0" w:space="0" w:color="auto"/>
        <w:left w:val="none" w:sz="0" w:space="0" w:color="auto"/>
        <w:bottom w:val="none" w:sz="0" w:space="0" w:color="auto"/>
        <w:right w:val="none" w:sz="0" w:space="0" w:color="auto"/>
      </w:divBdr>
    </w:div>
    <w:div w:id="1402828062">
      <w:bodyDiv w:val="1"/>
      <w:marLeft w:val="0"/>
      <w:marRight w:val="0"/>
      <w:marTop w:val="0"/>
      <w:marBottom w:val="0"/>
      <w:divBdr>
        <w:top w:val="none" w:sz="0" w:space="0" w:color="auto"/>
        <w:left w:val="none" w:sz="0" w:space="0" w:color="auto"/>
        <w:bottom w:val="none" w:sz="0" w:space="0" w:color="auto"/>
        <w:right w:val="none" w:sz="0" w:space="0" w:color="auto"/>
      </w:divBdr>
    </w:div>
    <w:div w:id="1419671226">
      <w:bodyDiv w:val="1"/>
      <w:marLeft w:val="0"/>
      <w:marRight w:val="0"/>
      <w:marTop w:val="0"/>
      <w:marBottom w:val="0"/>
      <w:divBdr>
        <w:top w:val="none" w:sz="0" w:space="0" w:color="auto"/>
        <w:left w:val="none" w:sz="0" w:space="0" w:color="auto"/>
        <w:bottom w:val="none" w:sz="0" w:space="0" w:color="auto"/>
        <w:right w:val="none" w:sz="0" w:space="0" w:color="auto"/>
      </w:divBdr>
    </w:div>
    <w:div w:id="1476331837">
      <w:bodyDiv w:val="1"/>
      <w:marLeft w:val="0"/>
      <w:marRight w:val="0"/>
      <w:marTop w:val="0"/>
      <w:marBottom w:val="0"/>
      <w:divBdr>
        <w:top w:val="none" w:sz="0" w:space="0" w:color="auto"/>
        <w:left w:val="none" w:sz="0" w:space="0" w:color="auto"/>
        <w:bottom w:val="none" w:sz="0" w:space="0" w:color="auto"/>
        <w:right w:val="none" w:sz="0" w:space="0" w:color="auto"/>
      </w:divBdr>
    </w:div>
    <w:div w:id="1728141197">
      <w:bodyDiv w:val="1"/>
      <w:marLeft w:val="0"/>
      <w:marRight w:val="0"/>
      <w:marTop w:val="0"/>
      <w:marBottom w:val="0"/>
      <w:divBdr>
        <w:top w:val="none" w:sz="0" w:space="0" w:color="auto"/>
        <w:left w:val="none" w:sz="0" w:space="0" w:color="auto"/>
        <w:bottom w:val="none" w:sz="0" w:space="0" w:color="auto"/>
        <w:right w:val="none" w:sz="0" w:space="0" w:color="auto"/>
      </w:divBdr>
    </w:div>
    <w:div w:id="1751079392">
      <w:bodyDiv w:val="1"/>
      <w:marLeft w:val="0"/>
      <w:marRight w:val="0"/>
      <w:marTop w:val="0"/>
      <w:marBottom w:val="0"/>
      <w:divBdr>
        <w:top w:val="none" w:sz="0" w:space="0" w:color="auto"/>
        <w:left w:val="none" w:sz="0" w:space="0" w:color="auto"/>
        <w:bottom w:val="none" w:sz="0" w:space="0" w:color="auto"/>
        <w:right w:val="none" w:sz="0" w:space="0" w:color="auto"/>
      </w:divBdr>
    </w:div>
    <w:div w:id="1788160152">
      <w:bodyDiv w:val="1"/>
      <w:marLeft w:val="0"/>
      <w:marRight w:val="0"/>
      <w:marTop w:val="0"/>
      <w:marBottom w:val="0"/>
      <w:divBdr>
        <w:top w:val="none" w:sz="0" w:space="0" w:color="auto"/>
        <w:left w:val="none" w:sz="0" w:space="0" w:color="auto"/>
        <w:bottom w:val="none" w:sz="0" w:space="0" w:color="auto"/>
        <w:right w:val="none" w:sz="0" w:space="0" w:color="auto"/>
      </w:divBdr>
    </w:div>
    <w:div w:id="2067072599">
      <w:bodyDiv w:val="1"/>
      <w:marLeft w:val="0"/>
      <w:marRight w:val="0"/>
      <w:marTop w:val="0"/>
      <w:marBottom w:val="0"/>
      <w:divBdr>
        <w:top w:val="none" w:sz="0" w:space="0" w:color="auto"/>
        <w:left w:val="none" w:sz="0" w:space="0" w:color="auto"/>
        <w:bottom w:val="none" w:sz="0" w:space="0" w:color="auto"/>
        <w:right w:val="none" w:sz="0" w:space="0" w:color="auto"/>
      </w:divBdr>
    </w:div>
    <w:div w:id="2084132690">
      <w:bodyDiv w:val="1"/>
      <w:marLeft w:val="0"/>
      <w:marRight w:val="0"/>
      <w:marTop w:val="0"/>
      <w:marBottom w:val="0"/>
      <w:divBdr>
        <w:top w:val="none" w:sz="0" w:space="0" w:color="auto"/>
        <w:left w:val="none" w:sz="0" w:space="0" w:color="auto"/>
        <w:bottom w:val="none" w:sz="0" w:space="0" w:color="auto"/>
        <w:right w:val="none" w:sz="0" w:space="0" w:color="auto"/>
      </w:divBdr>
    </w:div>
    <w:div w:id="2113427345">
      <w:bodyDiv w:val="1"/>
      <w:marLeft w:val="0"/>
      <w:marRight w:val="0"/>
      <w:marTop w:val="0"/>
      <w:marBottom w:val="0"/>
      <w:divBdr>
        <w:top w:val="none" w:sz="0" w:space="0" w:color="auto"/>
        <w:left w:val="none" w:sz="0" w:space="0" w:color="auto"/>
        <w:bottom w:val="none" w:sz="0" w:space="0" w:color="auto"/>
        <w:right w:val="none" w:sz="0" w:space="0" w:color="auto"/>
      </w:divBdr>
    </w:div>
    <w:div w:id="214121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png"/><Relationship Id="rId36"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png"/><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fontTable" Target="fontTable.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6.png"/></Relationships>
</file>

<file path=word/theme/theme1.xml><?xml version="1.0" encoding="utf-8"?>
<a:theme xmlns:a="http://schemas.openxmlformats.org/drawingml/2006/main" name="Tema de Offic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14040-C352-4452-BB57-5F309EEE3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32</Pages>
  <Words>5256</Words>
  <Characters>28911</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 Poot Maricela</dc:creator>
  <cp:lastModifiedBy>Alonzo Alonzo Amayrani Guadalupe</cp:lastModifiedBy>
  <cp:revision>8</cp:revision>
  <cp:lastPrinted>2022-10-10T14:11:00Z</cp:lastPrinted>
  <dcterms:created xsi:type="dcterms:W3CDTF">2023-01-12T21:35:00Z</dcterms:created>
  <dcterms:modified xsi:type="dcterms:W3CDTF">2023-03-22T16:50:00Z</dcterms:modified>
</cp:coreProperties>
</file>