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r>
        <w:rPr>
          <w:noProof/>
          <w:lang w:eastAsia="es-MX"/>
        </w:rPr>
        <mc:AlternateContent>
          <mc:Choice Requires="wps">
            <w:drawing>
              <wp:anchor distT="0" distB="0" distL="114300" distR="114300" simplePos="0" relativeHeight="251651584" behindDoc="0" locked="0" layoutInCell="1" allowOverlap="1" wp14:anchorId="3345425F" wp14:editId="030FFBD3">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5425F"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5B4D16" w:rsidP="00CF6A99">
      <w:pPr>
        <w:jc w:val="center"/>
      </w:pPr>
      <w:r>
        <w:rPr>
          <w:noProof/>
          <w:lang w:eastAsia="es-MX"/>
        </w:rPr>
        <mc:AlternateContent>
          <mc:Choice Requires="wps">
            <w:drawing>
              <wp:anchor distT="0" distB="0" distL="114300" distR="114300" simplePos="0" relativeHeight="251657728" behindDoc="0" locked="0" layoutInCell="1" allowOverlap="1" wp14:anchorId="7830859E" wp14:editId="7882F83B">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rsidR="00A1098C" w:rsidRPr="00CF6A99" w:rsidRDefault="00432DE7"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Septiembre</w:t>
                            </w:r>
                            <w:r w:rsidR="00A1098C">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7830859E" id="9 Cuadro de texto" o:spid="_x0000_s1027" type="#_x0000_t202" style="position:absolute;left:0;text-align:left;margin-left:4.95pt;margin-top:3.3pt;width:520.5pt;height:2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rsidR="00A1098C" w:rsidRPr="00CF6A99" w:rsidRDefault="00432DE7"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Septiembre</w:t>
                      </w:r>
                      <w:r w:rsidR="00A1098C">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2022</w:t>
                      </w:r>
                    </w:p>
                  </w:txbxContent>
                </v:textbox>
              </v:shape>
            </w:pict>
          </mc:Fallback>
        </mc:AlternateContent>
      </w: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CF6A99" w:rsidRDefault="005B4D16" w:rsidP="00CF6A99">
      <w:pPr>
        <w:jc w:val="center"/>
      </w:pPr>
      <w:r>
        <w:rPr>
          <w:noProof/>
          <w:lang w:eastAsia="es-MX"/>
        </w:rPr>
        <mc:AlternateContent>
          <mc:Choice Requires="wps">
            <w:drawing>
              <wp:anchor distT="0" distB="0" distL="114300" distR="114300" simplePos="0" relativeHeight="251653632" behindDoc="0" locked="0" layoutInCell="1" allowOverlap="1" wp14:anchorId="1F7A1726" wp14:editId="29D6DDF4">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7A1726" id="2 Cuadro de texto" o:spid="_x0000_s1028" type="#_x0000_t202" style="position:absolute;left:0;text-align:left;margin-left:-7.05pt;margin-top:12.5pt;width:520.5pt;height:2in;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rsidR="00CF6A99" w:rsidRDefault="00CF6A99" w:rsidP="00CF6A99">
      <w:pPr>
        <w:jc w:val="center"/>
      </w:pPr>
    </w:p>
    <w:p w:rsidR="00CF6A99" w:rsidRDefault="00CF6A99" w:rsidP="00CF6A99">
      <w:pPr>
        <w:jc w:val="center"/>
      </w:pPr>
    </w:p>
    <w:p w:rsidR="00321551" w:rsidRDefault="00321551" w:rsidP="00CF6A99">
      <w:pPr>
        <w:jc w:val="center"/>
      </w:pPr>
    </w:p>
    <w:p w:rsidR="00321551" w:rsidRDefault="00321551" w:rsidP="00CF6A99">
      <w:pPr>
        <w:jc w:val="center"/>
      </w:pPr>
    </w:p>
    <w:p w:rsidR="00CF6A99" w:rsidRDefault="00CF6A99" w:rsidP="00CF6A99">
      <w:pPr>
        <w:jc w:val="center"/>
      </w:pPr>
    </w:p>
    <w:p w:rsidR="00CF6A99" w:rsidRDefault="00CF6A99" w:rsidP="00CF6A99">
      <w:pPr>
        <w:jc w:val="center"/>
      </w:pPr>
    </w:p>
    <w:p w:rsidR="00CF6A99" w:rsidRDefault="00CF6A99" w:rsidP="00CF6A99">
      <w:pPr>
        <w:jc w:val="center"/>
      </w:pPr>
    </w:p>
    <w:p w:rsidR="009E3D9F" w:rsidRDefault="009E3D9F" w:rsidP="00CF6A99">
      <w:pPr>
        <w:jc w:val="center"/>
      </w:pPr>
      <w:r>
        <w:rPr>
          <w:b/>
          <w:noProof/>
          <w:sz w:val="24"/>
          <w:szCs w:val="24"/>
          <w:lang w:eastAsia="es-MX"/>
        </w:rPr>
        <w:lastRenderedPageBreak/>
        <mc:AlternateContent>
          <mc:Choice Requires="wps">
            <w:drawing>
              <wp:anchor distT="0" distB="0" distL="114300" distR="114300" simplePos="0" relativeHeight="251654656" behindDoc="0" locked="0" layoutInCell="1" allowOverlap="1" wp14:anchorId="0F508B11" wp14:editId="1FF3CEB0">
                <wp:simplePos x="0" y="0"/>
                <wp:positionH relativeFrom="column">
                  <wp:posOffset>358140</wp:posOffset>
                </wp:positionH>
                <wp:positionV relativeFrom="paragraph">
                  <wp:posOffset>82550</wp:posOffset>
                </wp:positionV>
                <wp:extent cx="5200650" cy="438150"/>
                <wp:effectExtent l="0" t="0" r="19050" b="19050"/>
                <wp:wrapNone/>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508B11" id="4 Rectángulo redondeado" o:spid="_x0000_s1029" style="position:absolute;left:0;text-align:left;margin-left:28.2pt;margin-top:6.5pt;width:409.5pt;height:34.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" fillcolor="#cbd2dc [1302]" strokecolor="#224e76 [1604]" strokeweight="2pt">
                <v:textbox>
                  <w:txbxContent>
                    <w:p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v:textbox>
              </v:roundrect>
            </w:pict>
          </mc:Fallback>
        </mc:AlternateContent>
      </w:r>
    </w:p>
    <w:p w:rsidR="009E3D9F" w:rsidRDefault="009E3D9F" w:rsidP="006C20FE"/>
    <w:p w:rsidR="006C20FE" w:rsidRDefault="006C20FE" w:rsidP="006C20FE"/>
    <w:p w:rsidR="00CF6A99" w:rsidRDefault="00CF6A99" w:rsidP="003D31FD">
      <w:pPr>
        <w:pStyle w:val="Sinespaciado"/>
        <w:numPr>
          <w:ilvl w:val="0"/>
          <w:numId w:val="23"/>
        </w:numPr>
        <w:rPr>
          <w:rFonts w:ascii="Arial" w:hAnsi="Arial" w:cs="Arial"/>
          <w:b/>
          <w:sz w:val="28"/>
          <w:szCs w:val="28"/>
        </w:rPr>
      </w:pPr>
      <w:r w:rsidRPr="009E3D9F">
        <w:rPr>
          <w:rFonts w:ascii="Arial" w:hAnsi="Arial" w:cs="Arial"/>
          <w:b/>
          <w:sz w:val="28"/>
          <w:szCs w:val="28"/>
        </w:rPr>
        <w:t>Notas al Estado de Situación Financiera</w:t>
      </w:r>
    </w:p>
    <w:p w:rsidR="003D31FD" w:rsidRPr="009E3D9F" w:rsidRDefault="003D31FD" w:rsidP="003D31FD">
      <w:pPr>
        <w:pStyle w:val="Sinespaciado"/>
        <w:tabs>
          <w:tab w:val="left" w:pos="1134"/>
        </w:tabs>
        <w:ind w:left="1080"/>
        <w:rPr>
          <w:rFonts w:ascii="Arial" w:hAnsi="Arial" w:cs="Arial"/>
          <w:b/>
          <w:sz w:val="28"/>
          <w:szCs w:val="28"/>
        </w:rPr>
      </w:pPr>
    </w:p>
    <w:p w:rsidR="009E3D9F" w:rsidRPr="00334DF9" w:rsidRDefault="009E3D9F" w:rsidP="00CF6A99">
      <w:pPr>
        <w:pStyle w:val="Texto"/>
        <w:spacing w:after="80" w:line="203" w:lineRule="exact"/>
        <w:rPr>
          <w:b/>
          <w:smallCaps/>
          <w:szCs w:val="18"/>
        </w:rPr>
      </w:pPr>
    </w:p>
    <w:p w:rsidR="00CF6A99" w:rsidRPr="00946FD1" w:rsidRDefault="00CF6A99" w:rsidP="00CF6A99">
      <w:pPr>
        <w:pStyle w:val="Texto"/>
        <w:spacing w:after="80" w:line="203" w:lineRule="exact"/>
        <w:rPr>
          <w:b/>
          <w:sz w:val="24"/>
          <w:szCs w:val="24"/>
          <w:u w:val="single"/>
          <w:lang w:val="es-MX"/>
        </w:rPr>
      </w:pPr>
      <w:r w:rsidRPr="00946FD1">
        <w:rPr>
          <w:b/>
          <w:sz w:val="24"/>
          <w:szCs w:val="24"/>
          <w:u w:val="single"/>
          <w:lang w:val="es-MX"/>
        </w:rPr>
        <w:t>Activo</w:t>
      </w:r>
    </w:p>
    <w:p w:rsidR="00CF6A99" w:rsidRPr="00FA5D7C" w:rsidRDefault="00CF6A99" w:rsidP="00CF6A99">
      <w:pPr>
        <w:pStyle w:val="Texto"/>
        <w:spacing w:after="80" w:line="203" w:lineRule="exact"/>
        <w:rPr>
          <w:b/>
          <w:sz w:val="24"/>
          <w:szCs w:val="24"/>
          <w:lang w:val="es-MX"/>
        </w:rPr>
      </w:pPr>
      <w:r w:rsidRPr="00FA5D7C">
        <w:rPr>
          <w:b/>
          <w:sz w:val="24"/>
          <w:szCs w:val="24"/>
          <w:lang w:val="es-MX"/>
        </w:rPr>
        <w:t>Efectivo y Equivalentes</w:t>
      </w:r>
    </w:p>
    <w:p w:rsidR="009E3D9F" w:rsidRDefault="009E3D9F" w:rsidP="00CF6A99">
      <w:pPr>
        <w:pStyle w:val="Texto"/>
        <w:spacing w:after="80" w:line="203" w:lineRule="exact"/>
        <w:rPr>
          <w:b/>
          <w:sz w:val="22"/>
          <w:szCs w:val="22"/>
          <w:lang w:val="es-MX"/>
        </w:rPr>
      </w:pPr>
    </w:p>
    <w:p w:rsidR="009E3D9F" w:rsidRDefault="009E3D9F" w:rsidP="0091714F">
      <w:pPr>
        <w:spacing w:line="360" w:lineRule="auto"/>
        <w:ind w:left="426"/>
        <w:jc w:val="both"/>
        <w:rPr>
          <w:rFonts w:ascii="Arial" w:eastAsia="Cambria" w:hAnsi="Arial" w:cs="Arial"/>
          <w:sz w:val="24"/>
          <w:szCs w:val="24"/>
        </w:rPr>
      </w:pPr>
      <w:r w:rsidRPr="003755FD">
        <w:rPr>
          <w:rFonts w:ascii="Arial" w:eastAsia="Cambria" w:hAnsi="Arial" w:cs="Arial"/>
          <w:sz w:val="24"/>
          <w:szCs w:val="24"/>
        </w:rPr>
        <w:t>Los saldos en las cuentas bancarias y los excedentes de efectivo o disponibilidades financieras que se tienen en inversión al cierre del periodo corresponden a depósitos a la vista efectuados en cuentas del sistema financiero integradas como sigue:</w:t>
      </w:r>
    </w:p>
    <w:p w:rsidR="006C20FE" w:rsidRPr="003755FD" w:rsidRDefault="006C20FE" w:rsidP="0091714F">
      <w:pPr>
        <w:spacing w:line="360" w:lineRule="auto"/>
        <w:ind w:left="426"/>
        <w:jc w:val="both"/>
        <w:rPr>
          <w:rFonts w:ascii="Arial" w:eastAsia="Cambria" w:hAnsi="Arial" w:cs="Arial"/>
          <w:sz w:val="24"/>
          <w:szCs w:val="24"/>
        </w:rPr>
      </w:pPr>
    </w:p>
    <w:p w:rsidR="00A927AC" w:rsidRDefault="00432DE7" w:rsidP="00432DE7">
      <w:pPr>
        <w:spacing w:line="360" w:lineRule="auto"/>
        <w:jc w:val="center"/>
        <w:rPr>
          <w:rFonts w:ascii="Cambria" w:eastAsia="Cambria" w:hAnsi="Cambria" w:cs="Cambria"/>
          <w:sz w:val="24"/>
          <w:szCs w:val="24"/>
        </w:rPr>
      </w:pPr>
      <w:r w:rsidRPr="00432DE7">
        <w:rPr>
          <w:noProof/>
          <w:lang w:eastAsia="es-MX"/>
        </w:rPr>
        <w:drawing>
          <wp:inline distT="0" distB="0" distL="0" distR="0">
            <wp:extent cx="5810250" cy="13620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1362075"/>
                    </a:xfrm>
                    <a:prstGeom prst="rect">
                      <a:avLst/>
                    </a:prstGeom>
                    <a:noFill/>
                    <a:ln>
                      <a:noFill/>
                    </a:ln>
                  </pic:spPr>
                </pic:pic>
              </a:graphicData>
            </a:graphic>
          </wp:inline>
        </w:drawing>
      </w:r>
    </w:p>
    <w:p w:rsidR="00D61984" w:rsidRDefault="00D61984" w:rsidP="008B7B44">
      <w:pPr>
        <w:ind w:left="426"/>
        <w:jc w:val="center"/>
        <w:rPr>
          <w:rFonts w:ascii="Cambria" w:eastAsia="Cambria" w:hAnsi="Cambria" w:cs="Cambria"/>
          <w:sz w:val="24"/>
          <w:szCs w:val="24"/>
        </w:rPr>
      </w:pPr>
    </w:p>
    <w:p w:rsidR="008B7B44" w:rsidRDefault="00432DE7" w:rsidP="00432DE7">
      <w:pPr>
        <w:ind w:left="426"/>
        <w:jc w:val="center"/>
        <w:rPr>
          <w:rFonts w:ascii="Cambria" w:eastAsia="Cambria" w:hAnsi="Cambria" w:cs="Cambria"/>
          <w:sz w:val="24"/>
          <w:szCs w:val="24"/>
        </w:rPr>
      </w:pPr>
      <w:r w:rsidRPr="00432DE7">
        <w:rPr>
          <w:noProof/>
          <w:lang w:eastAsia="es-MX"/>
        </w:rPr>
        <w:drawing>
          <wp:inline distT="0" distB="0" distL="0" distR="0" wp14:anchorId="1D3A032E" wp14:editId="5598BB79">
            <wp:extent cx="5893594" cy="15716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0179" cy="1573381"/>
                    </a:xfrm>
                    <a:prstGeom prst="rect">
                      <a:avLst/>
                    </a:prstGeom>
                    <a:noFill/>
                    <a:ln>
                      <a:noFill/>
                    </a:ln>
                  </pic:spPr>
                </pic:pic>
              </a:graphicData>
            </a:graphic>
          </wp:inline>
        </w:drawing>
      </w:r>
    </w:p>
    <w:p w:rsidR="0092746E" w:rsidRDefault="0092746E" w:rsidP="00DE559D">
      <w:pPr>
        <w:ind w:left="426"/>
        <w:jc w:val="center"/>
        <w:rPr>
          <w:rFonts w:ascii="Cambria" w:eastAsia="Cambria" w:hAnsi="Cambria" w:cs="Cambria"/>
          <w:sz w:val="24"/>
          <w:szCs w:val="24"/>
        </w:rPr>
      </w:pPr>
    </w:p>
    <w:p w:rsidR="00D61984" w:rsidRDefault="00D61984" w:rsidP="00432DE7">
      <w:pPr>
        <w:pStyle w:val="Texto"/>
        <w:spacing w:after="80" w:line="203" w:lineRule="exact"/>
        <w:ind w:firstLine="0"/>
        <w:rPr>
          <w:b/>
          <w:sz w:val="22"/>
          <w:szCs w:val="22"/>
          <w:lang w:val="es-MX"/>
        </w:rPr>
      </w:pPr>
    </w:p>
    <w:p w:rsidR="00CF6A99" w:rsidRDefault="00CF6A99" w:rsidP="00FA5D7C">
      <w:pPr>
        <w:pStyle w:val="Texto"/>
        <w:numPr>
          <w:ilvl w:val="0"/>
          <w:numId w:val="2"/>
        </w:numPr>
        <w:spacing w:after="80" w:line="203" w:lineRule="exact"/>
        <w:rPr>
          <w:b/>
          <w:sz w:val="22"/>
          <w:szCs w:val="22"/>
          <w:lang w:val="es-MX"/>
        </w:rPr>
      </w:pPr>
      <w:r w:rsidRPr="00FA5D7C">
        <w:rPr>
          <w:b/>
          <w:sz w:val="22"/>
          <w:szCs w:val="22"/>
          <w:lang w:val="es-MX"/>
        </w:rPr>
        <w:lastRenderedPageBreak/>
        <w:t>Derechos a recibir Efectivo y Equivalentes y Bienes o Servicios a Recibir</w:t>
      </w:r>
    </w:p>
    <w:p w:rsidR="00D61984" w:rsidRPr="00FA5D7C" w:rsidRDefault="00D61984" w:rsidP="00D61984">
      <w:pPr>
        <w:pStyle w:val="Texto"/>
        <w:spacing w:after="80" w:line="203" w:lineRule="exact"/>
        <w:ind w:left="1008" w:firstLine="0"/>
        <w:rPr>
          <w:b/>
          <w:sz w:val="22"/>
          <w:szCs w:val="22"/>
          <w:lang w:val="es-MX"/>
        </w:rPr>
      </w:pPr>
    </w:p>
    <w:p w:rsidR="009E3D9F" w:rsidRPr="00D61984" w:rsidRDefault="009E3D9F" w:rsidP="00D61984">
      <w:pPr>
        <w:ind w:left="300" w:firstLine="708"/>
        <w:rPr>
          <w:rFonts w:ascii="Arial" w:eastAsia="Cambria" w:hAnsi="Arial" w:cs="Arial"/>
        </w:rPr>
      </w:pPr>
      <w:r w:rsidRPr="003755FD">
        <w:rPr>
          <w:rFonts w:ascii="Arial" w:eastAsia="Cambria" w:hAnsi="Arial" w:cs="Arial"/>
        </w:rPr>
        <w:t>A continuación, se enlistan las cuentas por cobrar registra</w:t>
      </w:r>
      <w:r w:rsidR="00D61984">
        <w:rPr>
          <w:rFonts w:ascii="Arial" w:eastAsia="Cambria" w:hAnsi="Arial" w:cs="Arial"/>
        </w:rPr>
        <w:t>das en los activos circulantes.</w:t>
      </w:r>
    </w:p>
    <w:p w:rsidR="003E0B25" w:rsidRDefault="00432DE7" w:rsidP="003755FD">
      <w:pPr>
        <w:pStyle w:val="Prrafodelista"/>
        <w:ind w:left="426"/>
        <w:jc w:val="center"/>
      </w:pPr>
      <w:r w:rsidRPr="00432DE7">
        <w:rPr>
          <w:noProof/>
          <w:lang w:eastAsia="es-MX"/>
        </w:rPr>
        <w:drawing>
          <wp:inline distT="0" distB="0" distL="0" distR="0">
            <wp:extent cx="5505450" cy="2202180"/>
            <wp:effectExtent l="0" t="0" r="0"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2202180"/>
                    </a:xfrm>
                    <a:prstGeom prst="rect">
                      <a:avLst/>
                    </a:prstGeom>
                    <a:noFill/>
                    <a:ln>
                      <a:noFill/>
                    </a:ln>
                  </pic:spPr>
                </pic:pic>
              </a:graphicData>
            </a:graphic>
          </wp:inline>
        </w:drawing>
      </w:r>
      <w:r w:rsidR="009E3D9F" w:rsidRPr="00BB4668">
        <w:rPr>
          <w:rFonts w:ascii="Cambria" w:eastAsia="Cambria" w:hAnsi="Cambria" w:cs="Cambria"/>
        </w:rPr>
        <w:t>.</w:t>
      </w:r>
      <w:bookmarkStart w:id="0" w:name="h.4d34og8" w:colFirst="0" w:colLast="0"/>
      <w:bookmarkEnd w:id="0"/>
      <w:r w:rsidR="003E0B25">
        <w:rPr>
          <w:rFonts w:ascii="Cambria" w:eastAsia="Cambria" w:hAnsi="Cambria" w:cs="Cambria"/>
        </w:rPr>
        <w:fldChar w:fldCharType="begin"/>
      </w:r>
      <w:r w:rsidR="003E0B25">
        <w:rPr>
          <w:rFonts w:ascii="Cambria" w:eastAsia="Cambria" w:hAnsi="Cambria" w:cs="Cambria"/>
        </w:rPr>
        <w:instrText xml:space="preserve"> LINK Excel.Sheet.8 "C:\\MARICELA 2022\\4.- ESTADOS FINANC TRIMESTRALES\\HOJA DE TRABAJO NOTAS MARICELA\\1.-HOJAS LLENADO DE NOTAS BALANCE junio.xls" "Hoja1!F22C1:F30C3" \a \f 4 \h  \* MERGEFORMAT </w:instrText>
      </w:r>
      <w:r w:rsidR="003E0B25">
        <w:rPr>
          <w:rFonts w:ascii="Cambria" w:eastAsia="Cambria" w:hAnsi="Cambria" w:cs="Cambria"/>
        </w:rPr>
        <w:fldChar w:fldCharType="separate"/>
      </w:r>
    </w:p>
    <w:p w:rsidR="003755FD" w:rsidRPr="00A3377D" w:rsidRDefault="003E0B25" w:rsidP="00A3377D">
      <w:pPr>
        <w:pStyle w:val="Prrafodelista"/>
        <w:ind w:left="426"/>
        <w:jc w:val="center"/>
        <w:rPr>
          <w:rFonts w:ascii="Cambria" w:eastAsia="Cambria" w:hAnsi="Cambria" w:cs="Cambria"/>
        </w:rPr>
      </w:pPr>
      <w:r>
        <w:rPr>
          <w:rFonts w:ascii="Cambria" w:eastAsia="Cambria" w:hAnsi="Cambria" w:cs="Cambria"/>
        </w:rPr>
        <w:fldChar w:fldCharType="end"/>
      </w:r>
      <w:r w:rsidR="00A927AC" w:rsidRPr="00BB4668">
        <w:rPr>
          <w:rFonts w:ascii="Cambria" w:eastAsia="Cambria" w:hAnsi="Cambria" w:cs="Cambria"/>
        </w:rPr>
        <w:t xml:space="preserve"> </w:t>
      </w:r>
    </w:p>
    <w:p w:rsidR="009E3D9F" w:rsidRPr="00FA5D7C" w:rsidRDefault="009E3D9F" w:rsidP="00FA5D7C">
      <w:pPr>
        <w:pStyle w:val="Prrafodelista"/>
        <w:numPr>
          <w:ilvl w:val="0"/>
          <w:numId w:val="3"/>
        </w:numPr>
        <w:jc w:val="both"/>
        <w:rPr>
          <w:rFonts w:ascii="Cambria" w:hAnsi="Cambria"/>
        </w:rPr>
      </w:pPr>
      <w:r w:rsidRPr="00FA5D7C">
        <w:rPr>
          <w:rFonts w:ascii="Cambria" w:eastAsia="Cambria" w:hAnsi="Cambria" w:cs="Cambria"/>
          <w:b/>
          <w:sz w:val="24"/>
          <w:szCs w:val="24"/>
        </w:rPr>
        <w:t>Prést</w:t>
      </w:r>
      <w:r w:rsidR="009167D8">
        <w:rPr>
          <w:rFonts w:ascii="Cambria" w:eastAsia="Cambria" w:hAnsi="Cambria" w:cs="Cambria"/>
          <w:b/>
          <w:sz w:val="24"/>
          <w:szCs w:val="24"/>
        </w:rPr>
        <w:t>amos a empresas Paramunicipales</w:t>
      </w:r>
    </w:p>
    <w:p w:rsidR="00D61984" w:rsidRDefault="009E3D9F" w:rsidP="00D61984">
      <w:pPr>
        <w:spacing w:line="360" w:lineRule="auto"/>
        <w:ind w:left="114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p w:rsidR="00432DE7" w:rsidRDefault="00432DE7" w:rsidP="00D61984">
      <w:pPr>
        <w:spacing w:line="360" w:lineRule="auto"/>
        <w:ind w:left="1146"/>
        <w:jc w:val="both"/>
        <w:rPr>
          <w:rFonts w:ascii="Arial" w:eastAsia="Cambria" w:hAnsi="Arial" w:cs="Arial"/>
        </w:rPr>
      </w:pPr>
      <w:r w:rsidRPr="00432DE7">
        <w:rPr>
          <w:noProof/>
          <w:lang w:eastAsia="es-MX"/>
        </w:rPr>
        <w:drawing>
          <wp:inline distT="0" distB="0" distL="0" distR="0">
            <wp:extent cx="5438775" cy="9144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914400"/>
                    </a:xfrm>
                    <a:prstGeom prst="rect">
                      <a:avLst/>
                    </a:prstGeom>
                    <a:noFill/>
                    <a:ln>
                      <a:noFill/>
                    </a:ln>
                  </pic:spPr>
                </pic:pic>
              </a:graphicData>
            </a:graphic>
          </wp:inline>
        </w:drawing>
      </w:r>
    </w:p>
    <w:p w:rsidR="009E3D9F" w:rsidRPr="009E3D9F" w:rsidRDefault="009E3D9F" w:rsidP="00FA5D7C">
      <w:pPr>
        <w:pStyle w:val="Texto"/>
        <w:numPr>
          <w:ilvl w:val="0"/>
          <w:numId w:val="4"/>
        </w:numPr>
        <w:spacing w:after="80" w:line="203" w:lineRule="exact"/>
        <w:rPr>
          <w:b/>
          <w:sz w:val="22"/>
          <w:szCs w:val="22"/>
          <w:lang w:val="es-MX"/>
        </w:rPr>
      </w:pPr>
      <w:r w:rsidRPr="009E3D9F">
        <w:rPr>
          <w:b/>
          <w:sz w:val="22"/>
          <w:szCs w:val="22"/>
          <w:lang w:val="es-MX"/>
        </w:rPr>
        <w:t>Almacenes</w:t>
      </w:r>
    </w:p>
    <w:p w:rsidR="00A927AC" w:rsidRDefault="009E3D9F" w:rsidP="00D61984">
      <w:pPr>
        <w:spacing w:line="360" w:lineRule="auto"/>
        <w:ind w:left="1008"/>
        <w:jc w:val="both"/>
        <w:rPr>
          <w:rFonts w:ascii="Arial" w:eastAsia="Cambria" w:hAnsi="Arial" w:cs="Arial"/>
        </w:rPr>
      </w:pPr>
      <w:r w:rsidRPr="003755FD">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rsidR="00A927AC" w:rsidRDefault="00432DE7" w:rsidP="00432DE7">
      <w:pPr>
        <w:jc w:val="center"/>
        <w:rPr>
          <w:rFonts w:ascii="Arial" w:eastAsia="Cambria" w:hAnsi="Arial" w:cs="Arial"/>
        </w:rPr>
      </w:pPr>
      <w:r w:rsidRPr="00432DE7">
        <w:rPr>
          <w:noProof/>
          <w:lang w:eastAsia="es-MX"/>
        </w:rPr>
        <w:drawing>
          <wp:inline distT="0" distB="0" distL="0" distR="0" wp14:anchorId="43CE6FAE" wp14:editId="619F47C4">
            <wp:extent cx="4162425" cy="771525"/>
            <wp:effectExtent l="0" t="0" r="9525" b="9525"/>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771525"/>
                    </a:xfrm>
                    <a:prstGeom prst="rect">
                      <a:avLst/>
                    </a:prstGeom>
                    <a:noFill/>
                    <a:ln>
                      <a:noFill/>
                    </a:ln>
                  </pic:spPr>
                </pic:pic>
              </a:graphicData>
            </a:graphic>
          </wp:inline>
        </w:drawing>
      </w:r>
    </w:p>
    <w:p w:rsidR="00F81254" w:rsidRPr="00FF1029" w:rsidRDefault="00F81254" w:rsidP="00F81254">
      <w:pPr>
        <w:rPr>
          <w:rFonts w:ascii="Cambria" w:eastAsia="Cambria" w:hAnsi="Cambria" w:cs="Cambria"/>
          <w:sz w:val="24"/>
          <w:szCs w:val="24"/>
        </w:rPr>
      </w:pPr>
    </w:p>
    <w:p w:rsidR="00FA5D7C" w:rsidRPr="00A927AC" w:rsidRDefault="00CF6A99" w:rsidP="00A927AC">
      <w:pPr>
        <w:pStyle w:val="Texto"/>
        <w:numPr>
          <w:ilvl w:val="0"/>
          <w:numId w:val="5"/>
        </w:numPr>
        <w:spacing w:after="80" w:line="203" w:lineRule="exact"/>
        <w:rPr>
          <w:b/>
          <w:sz w:val="22"/>
          <w:szCs w:val="22"/>
          <w:lang w:val="es-MX"/>
        </w:rPr>
      </w:pPr>
      <w:r w:rsidRPr="00FA5D7C">
        <w:rPr>
          <w:b/>
          <w:sz w:val="22"/>
          <w:szCs w:val="22"/>
          <w:lang w:val="es-MX"/>
        </w:rPr>
        <w:t>Inversiones Financieras</w:t>
      </w:r>
    </w:p>
    <w:p w:rsidR="001B0F81" w:rsidRPr="003755FD" w:rsidRDefault="00FA5D7C" w:rsidP="00F11A27">
      <w:pPr>
        <w:tabs>
          <w:tab w:val="left" w:pos="1418"/>
        </w:tabs>
        <w:spacing w:line="360" w:lineRule="auto"/>
        <w:ind w:left="1008"/>
        <w:jc w:val="both"/>
        <w:rPr>
          <w:rFonts w:ascii="Arial" w:eastAsia="Cambria" w:hAnsi="Arial" w:cs="Arial"/>
        </w:rPr>
      </w:pPr>
      <w:r w:rsidRPr="003755FD">
        <w:rPr>
          <w:rFonts w:ascii="Arial" w:eastAsia="Cambria" w:hAnsi="Arial" w:cs="Arial"/>
        </w:rPr>
        <w:t>En este rubro se encuentran registrado el saldo bancario del Fideicomiso con el que cuenta el Municipio, el cual se contrató con la finalidad de poder otorgar beneficio a los empleados.</w:t>
      </w:r>
    </w:p>
    <w:p w:rsidR="00A1098C" w:rsidRPr="00A002F3" w:rsidRDefault="00432DE7" w:rsidP="00FA5D7C">
      <w:pPr>
        <w:tabs>
          <w:tab w:val="left" w:pos="1418"/>
        </w:tabs>
        <w:ind w:left="426"/>
        <w:jc w:val="center"/>
        <w:rPr>
          <w:rFonts w:ascii="Cambria" w:eastAsia="Cambria" w:hAnsi="Cambria" w:cs="Cambria"/>
          <w:sz w:val="24"/>
          <w:szCs w:val="24"/>
        </w:rPr>
      </w:pPr>
      <w:r w:rsidRPr="00432DE7">
        <w:rPr>
          <w:noProof/>
          <w:lang w:eastAsia="es-MX"/>
        </w:rPr>
        <w:drawing>
          <wp:inline distT="0" distB="0" distL="0" distR="0">
            <wp:extent cx="4162425" cy="581025"/>
            <wp:effectExtent l="0" t="0" r="9525" b="9525"/>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581025"/>
                    </a:xfrm>
                    <a:prstGeom prst="rect">
                      <a:avLst/>
                    </a:prstGeom>
                    <a:noFill/>
                    <a:ln>
                      <a:noFill/>
                    </a:ln>
                  </pic:spPr>
                </pic:pic>
              </a:graphicData>
            </a:graphic>
          </wp:inline>
        </w:drawing>
      </w:r>
    </w:p>
    <w:p w:rsidR="00A927AC" w:rsidRDefault="00A927AC" w:rsidP="00F11A27">
      <w:pPr>
        <w:spacing w:after="0" w:line="240" w:lineRule="auto"/>
        <w:rPr>
          <w:rFonts w:ascii="Cambria" w:eastAsia="Cambria" w:hAnsi="Cambria" w:cs="Cambria"/>
          <w:b/>
          <w:sz w:val="24"/>
          <w:szCs w:val="24"/>
        </w:rPr>
      </w:pPr>
    </w:p>
    <w:p w:rsidR="00FA5D7C" w:rsidRDefault="00FA5D7C" w:rsidP="00FA5D7C">
      <w:pPr>
        <w:spacing w:after="0" w:line="240" w:lineRule="auto"/>
        <w:ind w:left="426"/>
        <w:jc w:val="center"/>
        <w:rPr>
          <w:rFonts w:ascii="Cambria" w:eastAsia="Cambria" w:hAnsi="Cambria" w:cs="Cambria"/>
          <w:b/>
          <w:sz w:val="28"/>
          <w:szCs w:val="28"/>
        </w:rPr>
      </w:pPr>
      <w:r w:rsidRPr="00FF1029">
        <w:rPr>
          <w:rFonts w:ascii="Cambria" w:eastAsia="Cambria" w:hAnsi="Cambria" w:cs="Cambria"/>
          <w:b/>
          <w:sz w:val="28"/>
          <w:szCs w:val="28"/>
        </w:rPr>
        <w:t>Beneficio a los Empleados</w:t>
      </w:r>
    </w:p>
    <w:p w:rsidR="00FA5D7C" w:rsidRPr="00A002F3" w:rsidRDefault="00FA5D7C" w:rsidP="00A927AC">
      <w:pPr>
        <w:spacing w:after="0" w:line="240" w:lineRule="auto"/>
        <w:jc w:val="both"/>
        <w:rPr>
          <w:rFonts w:ascii="Cambria" w:hAnsi="Cambria"/>
        </w:rPr>
      </w:pPr>
    </w:p>
    <w:p w:rsidR="00FA5D7C" w:rsidRPr="00FA5D7C" w:rsidRDefault="00FA5D7C" w:rsidP="00FA5D7C">
      <w:pPr>
        <w:spacing w:after="0" w:line="240" w:lineRule="auto"/>
        <w:ind w:left="426"/>
        <w:jc w:val="both"/>
        <w:rPr>
          <w:rFonts w:ascii="Cambria" w:hAnsi="Cambria"/>
          <w:b/>
          <w:sz w:val="24"/>
          <w:szCs w:val="24"/>
        </w:rPr>
      </w:pPr>
      <w:r w:rsidRPr="00FA5D7C">
        <w:rPr>
          <w:rFonts w:ascii="Cambria" w:hAnsi="Cambria"/>
          <w:b/>
          <w:sz w:val="24"/>
          <w:szCs w:val="24"/>
        </w:rPr>
        <w:t xml:space="preserve">SIRJUM </w:t>
      </w:r>
    </w:p>
    <w:p w:rsidR="00FA5D7C" w:rsidRPr="003755FD" w:rsidRDefault="00FA5D7C" w:rsidP="003755FD">
      <w:pPr>
        <w:spacing w:before="240" w:line="360" w:lineRule="auto"/>
        <w:ind w:left="426"/>
        <w:jc w:val="both"/>
        <w:rPr>
          <w:rFonts w:ascii="Arial" w:hAnsi="Arial" w:cs="Arial"/>
        </w:rPr>
      </w:pPr>
      <w:r w:rsidRPr="003755FD">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rsidR="00EC0F98" w:rsidRPr="00F11A27" w:rsidRDefault="00FA5D7C" w:rsidP="00F11A27">
      <w:pPr>
        <w:spacing w:before="240" w:line="360" w:lineRule="auto"/>
        <w:ind w:left="426"/>
        <w:jc w:val="both"/>
        <w:rPr>
          <w:rFonts w:ascii="Arial" w:hAnsi="Arial" w:cs="Arial"/>
        </w:rPr>
      </w:pPr>
      <w:r w:rsidRPr="003755FD">
        <w:rPr>
          <w:rFonts w:ascii="Arial" w:hAnsi="Arial" w:cs="Arial"/>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rsidR="00FA5D7C" w:rsidRPr="00FA5D7C" w:rsidRDefault="00FA5D7C" w:rsidP="00FA5D7C">
      <w:pPr>
        <w:ind w:left="426"/>
        <w:jc w:val="both"/>
        <w:rPr>
          <w:rFonts w:ascii="Cambria" w:hAnsi="Cambria"/>
          <w:b/>
          <w:sz w:val="24"/>
          <w:szCs w:val="24"/>
        </w:rPr>
      </w:pPr>
      <w:r w:rsidRPr="00FA5D7C">
        <w:rPr>
          <w:rFonts w:ascii="Cambria" w:hAnsi="Cambria"/>
          <w:b/>
          <w:sz w:val="24"/>
          <w:szCs w:val="24"/>
        </w:rPr>
        <w:t>INFONAVIT</w:t>
      </w:r>
    </w:p>
    <w:p w:rsidR="00927878" w:rsidRDefault="00FA5D7C" w:rsidP="003755FD">
      <w:pPr>
        <w:spacing w:line="360" w:lineRule="auto"/>
        <w:ind w:left="426"/>
        <w:jc w:val="both"/>
        <w:rPr>
          <w:rFonts w:ascii="Arial" w:hAnsi="Arial" w:cs="Arial"/>
        </w:rPr>
      </w:pPr>
      <w:r w:rsidRPr="003755FD">
        <w:rPr>
          <w:rFonts w:ascii="Arial" w:hAnsi="Arial" w:cs="Arial"/>
        </w:rPr>
        <w:t xml:space="preserve"> Con fecha 11 de enero de 2016, quedó formalmente aceptada la incorporación del Ayuntamiento de Mérida al Instituto del Fondo Nacional de Vivienda para los trabajadores (INFONAVIT), mediante oficio SGRF/GCRF/970/2016 y a partir del segundo bimestre de 2016 se empiezan a realizar las aportaciones correspondientes al cinco por ciento sobre el salario de los trabajadores</w:t>
      </w:r>
      <w:r w:rsidR="00927878" w:rsidRPr="003755FD">
        <w:rPr>
          <w:rFonts w:ascii="Arial" w:hAnsi="Arial" w:cs="Arial"/>
        </w:rPr>
        <w:t xml:space="preserve"> al servicio del Ayuntamiento. </w:t>
      </w:r>
    </w:p>
    <w:p w:rsidR="00F11A27" w:rsidRDefault="00F11A27" w:rsidP="003755FD">
      <w:pPr>
        <w:spacing w:line="360" w:lineRule="auto"/>
        <w:ind w:left="426"/>
        <w:jc w:val="both"/>
        <w:rPr>
          <w:rFonts w:ascii="Arial" w:hAnsi="Arial" w:cs="Arial"/>
        </w:rPr>
      </w:pPr>
    </w:p>
    <w:p w:rsidR="004451E4" w:rsidRDefault="004451E4" w:rsidP="006C0769">
      <w:pPr>
        <w:spacing w:line="360" w:lineRule="auto"/>
        <w:jc w:val="both"/>
        <w:rPr>
          <w:rFonts w:ascii="Arial" w:hAnsi="Arial" w:cs="Arial"/>
        </w:rPr>
      </w:pPr>
    </w:p>
    <w:p w:rsidR="006C0769" w:rsidRDefault="006C0769" w:rsidP="006C0769">
      <w:pPr>
        <w:spacing w:line="360" w:lineRule="auto"/>
        <w:jc w:val="both"/>
        <w:rPr>
          <w:rFonts w:ascii="Arial" w:hAnsi="Arial" w:cs="Arial"/>
        </w:rPr>
      </w:pPr>
    </w:p>
    <w:p w:rsidR="00FF1029" w:rsidRDefault="00FF1029" w:rsidP="00FF1029">
      <w:pPr>
        <w:pStyle w:val="Sinespaciado"/>
        <w:numPr>
          <w:ilvl w:val="0"/>
          <w:numId w:val="8"/>
        </w:numPr>
        <w:rPr>
          <w:rFonts w:ascii="Arial" w:hAnsi="Arial" w:cs="Arial"/>
          <w:b/>
        </w:rPr>
      </w:pPr>
      <w:r w:rsidRPr="00FF1029">
        <w:rPr>
          <w:rFonts w:ascii="Arial" w:hAnsi="Arial" w:cs="Arial"/>
          <w:b/>
          <w:lang w:eastAsia="es-MX"/>
        </w:rPr>
        <w:lastRenderedPageBreak/>
        <w:t>Derechos a recibir Efectivo o Equivalentes a largo plazo</w:t>
      </w:r>
      <w:r w:rsidRPr="00FF1029">
        <w:rPr>
          <w:rFonts w:ascii="Arial" w:hAnsi="Arial" w:cs="Arial"/>
          <w:b/>
        </w:rPr>
        <w:t xml:space="preserve"> </w:t>
      </w:r>
    </w:p>
    <w:p w:rsidR="00927878" w:rsidRPr="00FF1029" w:rsidRDefault="00927878" w:rsidP="00927878">
      <w:pPr>
        <w:pStyle w:val="Sinespaciado"/>
        <w:ind w:left="1068"/>
        <w:rPr>
          <w:rFonts w:ascii="Arial" w:hAnsi="Arial" w:cs="Arial"/>
          <w:b/>
        </w:rPr>
      </w:pPr>
    </w:p>
    <w:p w:rsidR="00FF1029" w:rsidRPr="00D61984" w:rsidRDefault="00FF1029" w:rsidP="00D61984">
      <w:pPr>
        <w:pStyle w:val="Prrafodelista"/>
        <w:ind w:left="786" w:firstLine="282"/>
        <w:rPr>
          <w:rFonts w:ascii="Cambria" w:hAnsi="Cambria"/>
        </w:rPr>
      </w:pPr>
      <w:r w:rsidRPr="00795A1C">
        <w:rPr>
          <w:rFonts w:ascii="Cambria" w:hAnsi="Cambria"/>
        </w:rPr>
        <w:t>A continuación, se enlistan las cuentas por cobrar registradas en los activos no</w:t>
      </w:r>
      <w:r w:rsidR="00D61984">
        <w:rPr>
          <w:rFonts w:ascii="Cambria" w:hAnsi="Cambria"/>
        </w:rPr>
        <w:t xml:space="preserve"> circulantes</w:t>
      </w:r>
    </w:p>
    <w:p w:rsidR="001B0F81" w:rsidRPr="00EA67DE" w:rsidRDefault="00432DE7" w:rsidP="00EA67DE">
      <w:pPr>
        <w:ind w:left="426"/>
        <w:jc w:val="center"/>
        <w:rPr>
          <w:rFonts w:ascii="Cambria" w:hAnsi="Cambria"/>
          <w:sz w:val="24"/>
          <w:szCs w:val="24"/>
        </w:rPr>
      </w:pPr>
      <w:r w:rsidRPr="00432DE7">
        <w:rPr>
          <w:noProof/>
          <w:lang w:eastAsia="es-MX"/>
        </w:rPr>
        <w:drawing>
          <wp:inline distT="0" distB="0" distL="0" distR="0">
            <wp:extent cx="5505450" cy="3510853"/>
            <wp:effectExtent l="0" t="0" r="0"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3510853"/>
                    </a:xfrm>
                    <a:prstGeom prst="rect">
                      <a:avLst/>
                    </a:prstGeom>
                    <a:noFill/>
                    <a:ln>
                      <a:noFill/>
                    </a:ln>
                  </pic:spPr>
                </pic:pic>
              </a:graphicData>
            </a:graphic>
          </wp:inline>
        </w:drawing>
      </w:r>
    </w:p>
    <w:p w:rsidR="00F81254" w:rsidRDefault="00FF1029" w:rsidP="00F81254">
      <w:pPr>
        <w:pStyle w:val="Sinespaciado"/>
        <w:numPr>
          <w:ilvl w:val="0"/>
          <w:numId w:val="10"/>
        </w:numPr>
        <w:rPr>
          <w:rFonts w:ascii="Arial" w:eastAsia="Cambria" w:hAnsi="Arial" w:cs="Arial"/>
          <w:b/>
        </w:rPr>
      </w:pPr>
      <w:r w:rsidRPr="00FF1029">
        <w:rPr>
          <w:rFonts w:ascii="Arial" w:eastAsia="Cambria" w:hAnsi="Arial" w:cs="Arial"/>
          <w:b/>
        </w:rPr>
        <w:t>Bienes Muebles, Inmuebles e Intangibles</w:t>
      </w:r>
    </w:p>
    <w:p w:rsidR="00F81254" w:rsidRPr="00F81254" w:rsidRDefault="00F81254" w:rsidP="00F81254">
      <w:pPr>
        <w:pStyle w:val="Sinespaciado"/>
        <w:ind w:left="1068"/>
        <w:rPr>
          <w:rFonts w:ascii="Arial" w:eastAsia="Cambria" w:hAnsi="Arial" w:cs="Arial"/>
          <w:b/>
        </w:rPr>
      </w:pPr>
    </w:p>
    <w:p w:rsidR="00432DE7" w:rsidRDefault="00FF1029" w:rsidP="00F81254">
      <w:pPr>
        <w:tabs>
          <w:tab w:val="left" w:pos="142"/>
          <w:tab w:val="left" w:pos="284"/>
        </w:tabs>
        <w:spacing w:after="0" w:line="276" w:lineRule="auto"/>
        <w:ind w:left="1134" w:right="157"/>
        <w:rPr>
          <w:rFonts w:ascii="Cambria" w:eastAsia="Cambria" w:hAnsi="Cambria" w:cs="Cambria"/>
          <w:sz w:val="24"/>
          <w:szCs w:val="24"/>
        </w:rPr>
      </w:pPr>
      <w:r w:rsidRPr="00A002F3">
        <w:rPr>
          <w:rFonts w:ascii="Cambria" w:eastAsia="Cambria" w:hAnsi="Cambria" w:cs="Cambria"/>
          <w:sz w:val="24"/>
          <w:szCs w:val="24"/>
        </w:rPr>
        <w:t>Los bienes muebles</w:t>
      </w:r>
      <w:r>
        <w:rPr>
          <w:rFonts w:ascii="Cambria" w:eastAsia="Cambria" w:hAnsi="Cambria" w:cs="Cambria"/>
          <w:sz w:val="24"/>
          <w:szCs w:val="24"/>
        </w:rPr>
        <w:t xml:space="preserve"> e intangibles</w:t>
      </w:r>
      <w:r w:rsidRPr="00A002F3">
        <w:rPr>
          <w:rFonts w:ascii="Cambria" w:eastAsia="Cambria" w:hAnsi="Cambria" w:cs="Cambria"/>
          <w:sz w:val="24"/>
          <w:szCs w:val="24"/>
        </w:rPr>
        <w:t xml:space="preserve"> se encuentran registrados a su costo de adquisición, </w:t>
      </w:r>
      <w:r w:rsidRPr="00FF1029">
        <w:rPr>
          <w:rFonts w:ascii="Cambria" w:eastAsia="Cambria" w:hAnsi="Cambria" w:cs="Cambria"/>
          <w:sz w:val="24"/>
          <w:szCs w:val="24"/>
        </w:rPr>
        <w:t xml:space="preserve">y están integrados de la siguiente manera: </w:t>
      </w:r>
    </w:p>
    <w:p w:rsidR="003E0B25" w:rsidRPr="001A5103" w:rsidRDefault="003E0B25" w:rsidP="00F81254">
      <w:pPr>
        <w:tabs>
          <w:tab w:val="left" w:pos="142"/>
          <w:tab w:val="left" w:pos="284"/>
        </w:tabs>
        <w:spacing w:after="0" w:line="276" w:lineRule="auto"/>
        <w:ind w:left="1134" w:right="157"/>
        <w:rPr>
          <w:rFonts w:eastAsia="Cambria"/>
        </w:rPr>
      </w:pPr>
      <w:r>
        <w:rPr>
          <w:rFonts w:eastAsia="Cambria"/>
        </w:rPr>
        <w:fldChar w:fldCharType="begin"/>
      </w:r>
      <w:r>
        <w:rPr>
          <w:rFonts w:eastAsia="Cambria"/>
        </w:rPr>
        <w:instrText xml:space="preserve"> LINK Excel.Sheet.8 "C:\\MARICELA 2022\\4.- ESTADOS FINANC TRIMESTRALES\\HOJA DE TRABAJO NOTAS MARICELA\\1.-HOJAS LLENADO DE NOTAS BALANCE junio.xls" "Hoja1!F73C1:F83C3" \a \f 4 \h </w:instrText>
      </w:r>
      <w:r>
        <w:rPr>
          <w:rFonts w:eastAsia="Cambria"/>
        </w:rPr>
        <w:fldChar w:fldCharType="separate"/>
      </w:r>
    </w:p>
    <w:p w:rsidR="003E0B25" w:rsidRPr="004451E4" w:rsidRDefault="00432DE7" w:rsidP="004451E4">
      <w:pPr>
        <w:tabs>
          <w:tab w:val="left" w:pos="142"/>
          <w:tab w:val="left" w:pos="284"/>
        </w:tabs>
        <w:spacing w:line="360" w:lineRule="auto"/>
        <w:ind w:left="1134" w:right="157"/>
        <w:rPr>
          <w:rFonts w:eastAsia="Cambria"/>
        </w:rPr>
      </w:pPr>
      <w:r w:rsidRPr="00432DE7">
        <w:rPr>
          <w:noProof/>
          <w:lang w:eastAsia="es-MX"/>
        </w:rPr>
        <w:drawing>
          <wp:inline distT="0" distB="0" distL="0" distR="0">
            <wp:extent cx="5445590" cy="2133600"/>
            <wp:effectExtent l="0" t="0" r="3175"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5862" cy="2133707"/>
                    </a:xfrm>
                    <a:prstGeom prst="rect">
                      <a:avLst/>
                    </a:prstGeom>
                    <a:noFill/>
                    <a:ln>
                      <a:noFill/>
                    </a:ln>
                  </pic:spPr>
                </pic:pic>
              </a:graphicData>
            </a:graphic>
          </wp:inline>
        </w:drawing>
      </w:r>
      <w:r w:rsidR="003E0B25">
        <w:rPr>
          <w:rFonts w:eastAsia="Cambria"/>
        </w:rPr>
        <w:fldChar w:fldCharType="end"/>
      </w:r>
    </w:p>
    <w:p w:rsidR="00A1098C" w:rsidRDefault="00FF1029" w:rsidP="00D61984">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lastRenderedPageBreak/>
        <w:t>Los bienes inmuebles actualmente no están sujetos a depreciación, y se encuentran registrados como sigue:</w:t>
      </w:r>
    </w:p>
    <w:p w:rsidR="00927878" w:rsidRDefault="00432DE7" w:rsidP="003755FD">
      <w:pPr>
        <w:ind w:left="426"/>
        <w:jc w:val="center"/>
        <w:rPr>
          <w:rFonts w:ascii="Cambria" w:eastAsia="Cambria" w:hAnsi="Cambria" w:cs="Cambria"/>
          <w:sz w:val="24"/>
          <w:szCs w:val="24"/>
        </w:rPr>
      </w:pPr>
      <w:r w:rsidRPr="00432DE7">
        <w:rPr>
          <w:noProof/>
          <w:lang w:eastAsia="es-MX"/>
        </w:rPr>
        <w:drawing>
          <wp:inline distT="0" distB="0" distL="0" distR="0">
            <wp:extent cx="5467350" cy="1756722"/>
            <wp:effectExtent l="0" t="0" r="0"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1756722"/>
                    </a:xfrm>
                    <a:prstGeom prst="rect">
                      <a:avLst/>
                    </a:prstGeom>
                    <a:noFill/>
                    <a:ln>
                      <a:noFill/>
                    </a:ln>
                  </pic:spPr>
                </pic:pic>
              </a:graphicData>
            </a:graphic>
          </wp:inline>
        </w:drawing>
      </w:r>
    </w:p>
    <w:p w:rsidR="00FF1029" w:rsidRPr="00D61984" w:rsidRDefault="00FF1029" w:rsidP="00791B45">
      <w:pPr>
        <w:spacing w:line="360" w:lineRule="auto"/>
        <w:ind w:left="426"/>
        <w:jc w:val="both"/>
        <w:rPr>
          <w:rFonts w:ascii="Arial" w:eastAsia="Cambria" w:hAnsi="Arial" w:cs="Arial"/>
        </w:rPr>
      </w:pPr>
      <w:r w:rsidRPr="00D61984">
        <w:rPr>
          <w:rFonts w:ascii="Arial" w:eastAsia="Cambria" w:hAnsi="Arial" w:cs="Arial"/>
        </w:rPr>
        <w:t>La depreciación de los activos se calcula utilizando el método lineal, distribuyéndose en forma sistemá</w:t>
      </w:r>
      <w:r w:rsidR="00927878" w:rsidRPr="00D61984">
        <w:rPr>
          <w:rFonts w:ascii="Arial" w:eastAsia="Cambria" w:hAnsi="Arial" w:cs="Arial"/>
        </w:rPr>
        <w:t>tica a lo largo de su vida útil.</w:t>
      </w:r>
    </w:p>
    <w:p w:rsidR="00FF1029" w:rsidRDefault="00432DE7" w:rsidP="00EC0F98">
      <w:pPr>
        <w:ind w:left="426"/>
        <w:jc w:val="center"/>
        <w:rPr>
          <w:rFonts w:ascii="Cambria" w:eastAsia="Cambria" w:hAnsi="Cambria" w:cs="Cambria"/>
          <w:sz w:val="24"/>
          <w:szCs w:val="24"/>
        </w:rPr>
      </w:pPr>
      <w:r w:rsidRPr="00432DE7">
        <w:rPr>
          <w:noProof/>
          <w:lang w:eastAsia="es-MX"/>
        </w:rPr>
        <w:drawing>
          <wp:inline distT="0" distB="0" distL="0" distR="0">
            <wp:extent cx="5638800" cy="2458887"/>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0" cy="2458887"/>
                    </a:xfrm>
                    <a:prstGeom prst="rect">
                      <a:avLst/>
                    </a:prstGeom>
                    <a:noFill/>
                    <a:ln>
                      <a:noFill/>
                    </a:ln>
                  </pic:spPr>
                </pic:pic>
              </a:graphicData>
            </a:graphic>
          </wp:inline>
        </w:drawing>
      </w:r>
    </w:p>
    <w:p w:rsidR="001B0F81" w:rsidRDefault="001B0F81" w:rsidP="0091714F">
      <w:pPr>
        <w:spacing w:line="276" w:lineRule="auto"/>
        <w:ind w:left="426"/>
        <w:jc w:val="both"/>
        <w:rPr>
          <w:rFonts w:ascii="Arial" w:eastAsia="Cambria" w:hAnsi="Arial" w:cs="Arial"/>
        </w:rPr>
      </w:pPr>
    </w:p>
    <w:p w:rsidR="00554417" w:rsidRDefault="00FF1029" w:rsidP="00783261">
      <w:pPr>
        <w:spacing w:line="276" w:lineRule="auto"/>
        <w:ind w:left="426"/>
        <w:jc w:val="both"/>
        <w:rPr>
          <w:rFonts w:ascii="Arial" w:eastAsia="Cambria" w:hAnsi="Arial" w:cs="Arial"/>
        </w:rPr>
      </w:pPr>
      <w:r w:rsidRPr="00D61984">
        <w:rPr>
          <w:rFonts w:ascii="Arial" w:eastAsia="Cambria" w:hAnsi="Arial" w:cs="Arial"/>
        </w:rPr>
        <w:t>La depreciación anual se determina dividiendo el primer costo del activo menos su valor de salvamento por la vida útil del activo, sin considerar los valores de desecho, a las tasas que se indican a continuación:</w:t>
      </w:r>
    </w:p>
    <w:p w:rsidR="00432DE7" w:rsidRDefault="00432DE7" w:rsidP="00783261">
      <w:pPr>
        <w:spacing w:line="276" w:lineRule="auto"/>
        <w:ind w:left="426"/>
        <w:jc w:val="both"/>
        <w:rPr>
          <w:rFonts w:ascii="Arial" w:eastAsia="Cambria" w:hAnsi="Arial" w:cs="Arial"/>
        </w:rPr>
      </w:pPr>
    </w:p>
    <w:p w:rsidR="00791B45" w:rsidRDefault="00791B45" w:rsidP="00783261">
      <w:pPr>
        <w:spacing w:line="276" w:lineRule="auto"/>
        <w:ind w:left="426"/>
        <w:jc w:val="both"/>
        <w:rPr>
          <w:rFonts w:ascii="Arial" w:eastAsia="Cambria" w:hAnsi="Arial" w:cs="Arial"/>
        </w:rPr>
      </w:pPr>
    </w:p>
    <w:tbl>
      <w:tblPr>
        <w:tblpPr w:leftFromText="141" w:rightFromText="141" w:vertAnchor="text" w:horzAnchor="margin" w:tblpXSpec="center" w:tblpY="64"/>
        <w:tblW w:w="8582" w:type="dxa"/>
        <w:tblCellMar>
          <w:left w:w="70" w:type="dxa"/>
          <w:right w:w="70" w:type="dxa"/>
        </w:tblCellMar>
        <w:tblLook w:val="04A0" w:firstRow="1" w:lastRow="0" w:firstColumn="1" w:lastColumn="0" w:noHBand="0" w:noVBand="1"/>
      </w:tblPr>
      <w:tblGrid>
        <w:gridCol w:w="6346"/>
        <w:gridCol w:w="2236"/>
      </w:tblGrid>
      <w:tr w:rsidR="00065E55" w:rsidRPr="00A002F3" w:rsidTr="00065E55">
        <w:trPr>
          <w:trHeight w:val="247"/>
        </w:trPr>
        <w:tc>
          <w:tcPr>
            <w:tcW w:w="8582" w:type="dxa"/>
            <w:gridSpan w:val="2"/>
            <w:tcBorders>
              <w:top w:val="single" w:sz="4" w:space="0" w:color="auto"/>
              <w:left w:val="single" w:sz="4" w:space="0" w:color="auto"/>
              <w:bottom w:val="single" w:sz="4" w:space="0" w:color="auto"/>
              <w:right w:val="single" w:sz="4" w:space="0" w:color="auto"/>
            </w:tcBorders>
            <w:shd w:val="clear" w:color="000000" w:fill="DFEBF5" w:themeFill="accent1" w:themeFillTint="33"/>
            <w:vAlign w:val="center"/>
            <w:hideMark/>
          </w:tcPr>
          <w:p w:rsidR="00065E55" w:rsidRPr="00A002F3" w:rsidRDefault="00065E55" w:rsidP="00065E55">
            <w:pPr>
              <w:spacing w:after="0" w:line="240" w:lineRule="auto"/>
              <w:ind w:left="426"/>
              <w:jc w:val="center"/>
              <w:rPr>
                <w:rFonts w:ascii="Cambria" w:hAnsi="Cambria"/>
                <w:b/>
                <w:bCs/>
              </w:rPr>
            </w:pPr>
            <w:r w:rsidRPr="00A002F3">
              <w:rPr>
                <w:rFonts w:ascii="Cambria" w:hAnsi="Cambria"/>
                <w:b/>
                <w:bCs/>
              </w:rPr>
              <w:lastRenderedPageBreak/>
              <w:t>PORCENTAJES DEPRECIACIÓN CONAC</w:t>
            </w:r>
          </w:p>
        </w:tc>
      </w:tr>
      <w:tr w:rsidR="00065E55" w:rsidRPr="00A002F3" w:rsidTr="00065E55">
        <w:trPr>
          <w:trHeight w:val="492"/>
        </w:trPr>
        <w:tc>
          <w:tcPr>
            <w:tcW w:w="6346" w:type="dxa"/>
            <w:tcBorders>
              <w:top w:val="nil"/>
              <w:left w:val="single" w:sz="4" w:space="0" w:color="auto"/>
              <w:bottom w:val="single" w:sz="4" w:space="0" w:color="auto"/>
              <w:right w:val="single" w:sz="4" w:space="0" w:color="auto"/>
            </w:tcBorders>
            <w:shd w:val="clear" w:color="000000" w:fill="DFEBF5" w:themeFill="accent1" w:themeFillTint="33"/>
            <w:noWrap/>
            <w:vAlign w:val="center"/>
            <w:hideMark/>
          </w:tcPr>
          <w:p w:rsidR="00065E55" w:rsidRPr="00A002F3" w:rsidRDefault="00065E55" w:rsidP="00065E55">
            <w:pPr>
              <w:spacing w:after="0" w:line="240" w:lineRule="auto"/>
              <w:ind w:left="426"/>
              <w:jc w:val="center"/>
              <w:rPr>
                <w:rFonts w:ascii="Cambria" w:hAnsi="Cambria"/>
                <w:b/>
                <w:bCs/>
              </w:rPr>
            </w:pPr>
            <w:r w:rsidRPr="00A002F3">
              <w:rPr>
                <w:rFonts w:ascii="Cambria" w:hAnsi="Cambria"/>
                <w:b/>
                <w:bCs/>
              </w:rPr>
              <w:t>Rubro</w:t>
            </w:r>
          </w:p>
        </w:tc>
        <w:tc>
          <w:tcPr>
            <w:tcW w:w="2236" w:type="dxa"/>
            <w:tcBorders>
              <w:top w:val="nil"/>
              <w:left w:val="nil"/>
              <w:bottom w:val="single" w:sz="4" w:space="0" w:color="auto"/>
              <w:right w:val="single" w:sz="4" w:space="0" w:color="auto"/>
            </w:tcBorders>
            <w:shd w:val="clear" w:color="000000" w:fill="DFEBF5" w:themeFill="accent1" w:themeFillTint="33"/>
            <w:vAlign w:val="center"/>
            <w:hideMark/>
          </w:tcPr>
          <w:p w:rsidR="00065E55" w:rsidRPr="00A002F3" w:rsidRDefault="00065E55" w:rsidP="00065E55">
            <w:pPr>
              <w:spacing w:after="0" w:line="240" w:lineRule="auto"/>
              <w:ind w:left="426"/>
              <w:jc w:val="center"/>
              <w:rPr>
                <w:rFonts w:ascii="Cambria" w:hAnsi="Cambria"/>
                <w:b/>
                <w:bCs/>
              </w:rPr>
            </w:pPr>
            <w:r w:rsidRPr="00A002F3">
              <w:rPr>
                <w:rFonts w:ascii="Cambria" w:hAnsi="Cambria"/>
                <w:b/>
                <w:bCs/>
              </w:rPr>
              <w:t>% de Depreciación Anual</w:t>
            </w:r>
          </w:p>
        </w:tc>
      </w:tr>
      <w:tr w:rsidR="00065E55" w:rsidRPr="00A002F3" w:rsidTr="00065E55">
        <w:trPr>
          <w:trHeight w:val="259"/>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Viviendas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Edificios No Habitacionales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Infraestructura</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4</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Otros Bienes Inmuebles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5</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Muebles de Oficina y Estantería</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10</w:t>
            </w:r>
          </w:p>
        </w:tc>
      </w:tr>
      <w:tr w:rsidR="00065E55" w:rsidRPr="00A002F3" w:rsidTr="00065E55">
        <w:trPr>
          <w:trHeight w:val="247"/>
        </w:trPr>
        <w:tc>
          <w:tcPr>
            <w:tcW w:w="6346" w:type="dxa"/>
            <w:tcBorders>
              <w:top w:val="single" w:sz="4" w:space="0" w:color="auto"/>
              <w:left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rPr>
                <w:rFonts w:ascii="Cambria" w:hAnsi="Cambria"/>
              </w:rPr>
            </w:pPr>
            <w:r w:rsidRPr="00A002F3">
              <w:rPr>
                <w:rFonts w:ascii="Cambria" w:hAnsi="Cambria"/>
              </w:rPr>
              <w:t>Muebles, Excepto De Oficina Y Estantería</w:t>
            </w:r>
          </w:p>
        </w:tc>
        <w:tc>
          <w:tcPr>
            <w:tcW w:w="2236" w:type="dxa"/>
            <w:tcBorders>
              <w:top w:val="single" w:sz="4" w:space="0" w:color="auto"/>
              <w:left w:val="nil"/>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10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rPr>
                <w:rFonts w:ascii="Cambria" w:hAnsi="Cambria"/>
              </w:rPr>
            </w:pPr>
            <w:r w:rsidRPr="00A002F3">
              <w:rPr>
                <w:rFonts w:ascii="Cambria" w:hAnsi="Cambria"/>
              </w:rPr>
              <w:t>Equipo de Cómputo y de Tecnologías de la Información</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Otros Mobiliarios y Equipos de Administración</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10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Equipos y Aparatos Audiovisuales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Aparatos Deportivos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Cámaras Fotográficas y de Video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33.3</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Otro Mobiliario y Equipo Educacional y Recreativo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Equipo Médico y de Laboratorio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Instrumental Médico y de Laboratorio</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Automóviles y Equipo Terrestre</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r w:rsidR="00065E55" w:rsidRPr="00A002F3" w:rsidTr="00065E55">
        <w:trPr>
          <w:trHeight w:val="247"/>
        </w:trPr>
        <w:tc>
          <w:tcPr>
            <w:tcW w:w="6346" w:type="dxa"/>
            <w:tcBorders>
              <w:top w:val="nil"/>
              <w:left w:val="single" w:sz="4" w:space="0" w:color="auto"/>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both"/>
              <w:rPr>
                <w:rFonts w:ascii="Cambria" w:hAnsi="Cambria"/>
              </w:rPr>
            </w:pPr>
            <w:r w:rsidRPr="00A002F3">
              <w:rPr>
                <w:rFonts w:ascii="Cambria" w:hAnsi="Cambria"/>
              </w:rPr>
              <w:t>Carrocerías y Remolques</w:t>
            </w:r>
          </w:p>
        </w:tc>
        <w:tc>
          <w:tcPr>
            <w:tcW w:w="2236" w:type="dxa"/>
            <w:tcBorders>
              <w:top w:val="nil"/>
              <w:left w:val="nil"/>
              <w:bottom w:val="single" w:sz="4" w:space="0" w:color="auto"/>
              <w:right w:val="single" w:sz="4" w:space="0" w:color="auto"/>
            </w:tcBorders>
            <w:shd w:val="clear" w:color="auto" w:fill="auto"/>
            <w:vAlign w:val="center"/>
            <w:hideMark/>
          </w:tcPr>
          <w:p w:rsidR="00065E55" w:rsidRPr="00A002F3" w:rsidRDefault="00065E55" w:rsidP="00065E55">
            <w:pPr>
              <w:spacing w:after="0" w:line="240" w:lineRule="auto"/>
              <w:ind w:left="426"/>
              <w:jc w:val="center"/>
              <w:rPr>
                <w:rFonts w:ascii="Cambria" w:hAnsi="Cambria"/>
              </w:rPr>
            </w:pPr>
            <w:r w:rsidRPr="00A002F3">
              <w:rPr>
                <w:rFonts w:ascii="Cambria" w:hAnsi="Cambria"/>
              </w:rPr>
              <w:t>20</w:t>
            </w:r>
          </w:p>
        </w:tc>
      </w:tr>
    </w:tbl>
    <w:p w:rsidR="00A4431E" w:rsidRPr="00D61984" w:rsidRDefault="00A4431E" w:rsidP="0091714F">
      <w:pPr>
        <w:spacing w:line="276" w:lineRule="auto"/>
        <w:ind w:left="426"/>
        <w:jc w:val="both"/>
        <w:rPr>
          <w:rFonts w:ascii="Arial" w:eastAsia="Cambria" w:hAnsi="Arial" w:cs="Arial"/>
        </w:rPr>
      </w:pPr>
    </w:p>
    <w:p w:rsidR="00017B51" w:rsidRDefault="00017B5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1B0F81" w:rsidRDefault="001B0F81" w:rsidP="002C5230">
      <w:pPr>
        <w:ind w:left="426"/>
        <w:jc w:val="both"/>
        <w:rPr>
          <w:rFonts w:ascii="Cambria" w:eastAsia="Cambria" w:hAnsi="Cambria" w:cs="Cambria"/>
          <w:b/>
          <w:sz w:val="28"/>
          <w:szCs w:val="28"/>
          <w:u w:val="single"/>
        </w:rPr>
      </w:pPr>
    </w:p>
    <w:p w:rsidR="0022452D" w:rsidRPr="00605D3D" w:rsidRDefault="00946FD1" w:rsidP="002C5230">
      <w:pPr>
        <w:ind w:left="426"/>
        <w:jc w:val="both"/>
        <w:rPr>
          <w:rFonts w:ascii="Cambria" w:eastAsia="Cambria" w:hAnsi="Cambria" w:cs="Cambria"/>
          <w:b/>
          <w:sz w:val="28"/>
          <w:szCs w:val="28"/>
          <w:u w:val="single"/>
        </w:rPr>
      </w:pPr>
      <w:r w:rsidRPr="00946FD1">
        <w:rPr>
          <w:rFonts w:ascii="Cambria" w:eastAsia="Cambria" w:hAnsi="Cambria" w:cs="Cambria"/>
          <w:b/>
          <w:sz w:val="28"/>
          <w:szCs w:val="28"/>
          <w:u w:val="single"/>
        </w:rPr>
        <w:t>Pasivo</w:t>
      </w:r>
    </w:p>
    <w:p w:rsidR="008838F3" w:rsidRDefault="00946FD1" w:rsidP="008838F3">
      <w:pPr>
        <w:pStyle w:val="Prrafodelista"/>
        <w:numPr>
          <w:ilvl w:val="0"/>
          <w:numId w:val="12"/>
        </w:numPr>
        <w:spacing w:after="0" w:line="240" w:lineRule="auto"/>
        <w:jc w:val="both"/>
        <w:rPr>
          <w:rFonts w:ascii="Cambria" w:eastAsia="Cambria" w:hAnsi="Cambria" w:cs="Cambria"/>
          <w:b/>
          <w:sz w:val="24"/>
          <w:szCs w:val="24"/>
        </w:rPr>
      </w:pPr>
      <w:r w:rsidRPr="00946FD1">
        <w:rPr>
          <w:rFonts w:ascii="Cambria" w:eastAsia="Cambria" w:hAnsi="Cambria" w:cs="Cambria"/>
          <w:b/>
          <w:sz w:val="24"/>
          <w:szCs w:val="24"/>
        </w:rPr>
        <w:t>Deuda Contratada a Corto y Largo Plazo</w:t>
      </w:r>
    </w:p>
    <w:p w:rsidR="00FA3C5D" w:rsidRPr="00D61984" w:rsidRDefault="00946FD1" w:rsidP="00D61984">
      <w:pPr>
        <w:pStyle w:val="Prrafodelista"/>
        <w:spacing w:after="0" w:line="360" w:lineRule="auto"/>
        <w:ind w:left="786"/>
        <w:jc w:val="both"/>
        <w:rPr>
          <w:rFonts w:ascii="Arial" w:eastAsia="Cambria" w:hAnsi="Arial" w:cs="Arial"/>
        </w:rPr>
      </w:pPr>
      <w:r w:rsidRPr="00D61984">
        <w:rPr>
          <w:rFonts w:ascii="Arial" w:eastAsia="Cambria" w:hAnsi="Arial" w:cs="Arial"/>
        </w:rPr>
        <w:t>Actualmente el Municipio de Mérida no cuenta con algún Financiamiento contratado con Instituciones Bancarias u Otros.</w:t>
      </w:r>
    </w:p>
    <w:p w:rsidR="008838F3" w:rsidRPr="008838F3" w:rsidRDefault="008838F3" w:rsidP="008838F3">
      <w:pPr>
        <w:pStyle w:val="Prrafodelista"/>
        <w:spacing w:after="0" w:line="240" w:lineRule="auto"/>
        <w:ind w:left="786"/>
        <w:jc w:val="both"/>
        <w:rPr>
          <w:rFonts w:ascii="Cambria" w:eastAsia="Cambria" w:hAnsi="Cambria" w:cs="Cambria"/>
          <w:b/>
          <w:sz w:val="24"/>
          <w:szCs w:val="24"/>
        </w:rPr>
      </w:pPr>
    </w:p>
    <w:p w:rsidR="00946FD1" w:rsidRDefault="00946FD1" w:rsidP="00106E3C">
      <w:pPr>
        <w:pStyle w:val="Prrafodelista"/>
        <w:numPr>
          <w:ilvl w:val="0"/>
          <w:numId w:val="12"/>
        </w:numPr>
        <w:spacing w:after="0" w:line="240" w:lineRule="auto"/>
        <w:contextualSpacing w:val="0"/>
        <w:jc w:val="both"/>
        <w:rPr>
          <w:rFonts w:ascii="Cambria" w:eastAsia="Cambria" w:hAnsi="Cambria" w:cs="Cambria"/>
          <w:b/>
          <w:sz w:val="24"/>
          <w:szCs w:val="24"/>
        </w:rPr>
      </w:pPr>
      <w:r w:rsidRPr="00946FD1">
        <w:rPr>
          <w:rFonts w:ascii="Cambria" w:eastAsia="Cambria" w:hAnsi="Cambria" w:cs="Cambria"/>
          <w:b/>
          <w:sz w:val="24"/>
          <w:szCs w:val="24"/>
        </w:rPr>
        <w:t>Otros Pasivos a Corto Plazo</w:t>
      </w:r>
    </w:p>
    <w:p w:rsidR="00106E3C" w:rsidRPr="00946FD1" w:rsidRDefault="00106E3C" w:rsidP="00106E3C">
      <w:pPr>
        <w:pStyle w:val="Prrafodelista"/>
        <w:spacing w:after="0" w:line="240" w:lineRule="auto"/>
        <w:ind w:left="786"/>
        <w:contextualSpacing w:val="0"/>
        <w:jc w:val="both"/>
        <w:rPr>
          <w:rFonts w:ascii="Cambria" w:eastAsia="Cambria" w:hAnsi="Cambria" w:cs="Cambria"/>
          <w:b/>
          <w:sz w:val="24"/>
          <w:szCs w:val="24"/>
        </w:rPr>
      </w:pPr>
    </w:p>
    <w:p w:rsidR="00946FD1" w:rsidRPr="00D17F6A" w:rsidRDefault="00946FD1" w:rsidP="00946FD1">
      <w:pPr>
        <w:ind w:left="426"/>
        <w:jc w:val="both"/>
        <w:rPr>
          <w:rFonts w:ascii="Cambria" w:eastAsia="Cambria" w:hAnsi="Cambria" w:cs="Cambria"/>
          <w:b/>
          <w:sz w:val="24"/>
          <w:szCs w:val="24"/>
        </w:rPr>
      </w:pPr>
      <w:r w:rsidRPr="00D17F6A">
        <w:rPr>
          <w:rFonts w:ascii="Cambria" w:eastAsia="Cambria" w:hAnsi="Cambria" w:cs="Cambria"/>
          <w:b/>
          <w:sz w:val="24"/>
          <w:szCs w:val="24"/>
        </w:rPr>
        <w:t>LUMINARIAS AB&amp;C LEASING DE MEXICO</w:t>
      </w:r>
    </w:p>
    <w:p w:rsid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t xml:space="preserve">El veintidós de abril de dos mil trece, el H. Ayuntamiento de Mérida, da por terminado anticipadamente el Contrato de Arrendamiento derivado de la Licitación Pública  DA-2011-LUMINARIAS-01-01 adjudicado a la empresa </w:t>
      </w:r>
      <w:r w:rsidRPr="0091714F">
        <w:rPr>
          <w:rFonts w:ascii="Arial" w:eastAsia="Calibri" w:hAnsi="Arial" w:cs="Arial"/>
        </w:rPr>
        <w:t xml:space="preserve">AB&amp;C Leasing de México, S.A.P.I., de C.V., misma que </w:t>
      </w:r>
      <w:r w:rsidRPr="0091714F">
        <w:rPr>
          <w:rFonts w:ascii="Arial" w:hAnsi="Arial" w:cs="Arial"/>
        </w:rPr>
        <w:t xml:space="preserve">interpone demanda de Nulidad en  Juicio Contencioso Administrativo, </w:t>
      </w:r>
      <w:r w:rsidRPr="0091714F">
        <w:rPr>
          <w:rFonts w:ascii="Arial" w:eastAsia="Calibri" w:hAnsi="Arial" w:cs="Arial"/>
        </w:rPr>
        <w:t xml:space="preserve">ante el Tribunal de Justicia Electoral y Administrativa del Poder Judicial del Estado de Yucatán, en contra del Acuerdo anterior, al que se le asignó el número de expediente </w:t>
      </w:r>
      <w:r w:rsidRPr="0091714F">
        <w:rPr>
          <w:rFonts w:ascii="Arial" w:eastAsia="Calibri" w:hAnsi="Arial" w:cs="Arial"/>
          <w:u w:val="single"/>
        </w:rPr>
        <w:t>119/2013.</w:t>
      </w:r>
    </w:p>
    <w:p w:rsidR="0091714F" w:rsidRP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t xml:space="preserve">En sentencia de fecha </w:t>
      </w:r>
      <w:r w:rsidRPr="0091714F">
        <w:rPr>
          <w:rFonts w:ascii="Arial" w:hAnsi="Arial" w:cs="Arial"/>
          <w:u w:val="single"/>
        </w:rPr>
        <w:t>cinco de marzo del año dos mil catorce</w:t>
      </w:r>
      <w:r w:rsidRPr="0091714F">
        <w:rPr>
          <w:rFonts w:ascii="Arial" w:hAnsi="Arial" w:cs="Arial"/>
        </w:rPr>
        <w:t xml:space="preserve">, notificada hasta el día </w:t>
      </w:r>
      <w:r w:rsidRPr="0091714F">
        <w:rPr>
          <w:rFonts w:ascii="Arial" w:hAnsi="Arial" w:cs="Arial"/>
          <w:u w:val="single"/>
        </w:rPr>
        <w:t>quince de marzo de dos mil quince</w:t>
      </w:r>
      <w:r w:rsidRPr="0091714F">
        <w:rPr>
          <w:rFonts w:ascii="Arial" w:hAnsi="Arial" w:cs="Arial"/>
        </w:rPr>
        <w:t xml:space="preserve">, el Tribunal, declaró la nulidad de la resolución administrativa de fecha </w:t>
      </w:r>
      <w:r w:rsidRPr="0091714F">
        <w:rPr>
          <w:rFonts w:ascii="Arial" w:hAnsi="Arial" w:cs="Arial"/>
        </w:rPr>
        <w:lastRenderedPageBreak/>
        <w:t>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r w:rsidR="003A26D4">
        <w:rPr>
          <w:rFonts w:ascii="Arial" w:hAnsi="Arial" w:cs="Arial"/>
        </w:rPr>
        <w:t>.</w:t>
      </w:r>
    </w:p>
    <w:p w:rsidR="00F125F0" w:rsidRDefault="0091714F" w:rsidP="0091714F">
      <w:pPr>
        <w:pStyle w:val="Sinespaciado"/>
        <w:spacing w:line="360" w:lineRule="auto"/>
        <w:jc w:val="both"/>
        <w:rPr>
          <w:rFonts w:ascii="Arial" w:hAnsi="Arial" w:cs="Arial"/>
        </w:rPr>
      </w:pPr>
      <w:r w:rsidRPr="0091714F">
        <w:rPr>
          <w:rFonts w:ascii="Arial" w:hAnsi="Arial" w:cs="Arial"/>
        </w:rPr>
        <w:t xml:space="preserve"> </w:t>
      </w: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Ayuntamiento de Mérida, interpone Juicio de Amparo Directo en contra de la resolución de fecha cinco de marzo del año dos mil catorce, obteniéndose la suspensión de la ejecución de la misma.</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91714F" w:rsidRPr="0091714F" w:rsidRDefault="0091714F" w:rsidP="00AB1925">
      <w:pPr>
        <w:pStyle w:val="Sinespaciado"/>
        <w:spacing w:line="360" w:lineRule="auto"/>
        <w:ind w:left="426"/>
        <w:jc w:val="both"/>
        <w:rPr>
          <w:rFonts w:ascii="Arial" w:eastAsiaTheme="minorHAnsi" w:hAnsi="Arial" w:cs="Arial"/>
        </w:rPr>
      </w:pPr>
    </w:p>
    <w:p w:rsidR="0091714F" w:rsidRPr="0091714F" w:rsidRDefault="0091714F" w:rsidP="00791B45">
      <w:pPr>
        <w:pStyle w:val="Sinespaciado"/>
        <w:spacing w:line="360" w:lineRule="auto"/>
        <w:ind w:left="426"/>
        <w:jc w:val="both"/>
        <w:rPr>
          <w:rFonts w:ascii="Arial" w:hAnsi="Arial" w:cs="Arial"/>
        </w:rPr>
      </w:pPr>
      <w:r w:rsidRPr="0091714F">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lastRenderedPageBreak/>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1714F">
        <w:rPr>
          <w:rFonts w:ascii="Arial" w:hAnsi="Arial" w:cs="Arial"/>
          <w:u w:val="single"/>
        </w:rPr>
        <w:t>cinco de marzo del año dos mil catorce.</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Ayuntamiento de Mérida, en autos del Juicio antes referido, presentó un programa de pago el cual no fue tomado en consideración por el Juez y giró orden de embargo en contra del Municipio. </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w:t>
      </w:r>
      <w:r w:rsidRPr="0091714F">
        <w:rPr>
          <w:rFonts w:ascii="Arial" w:hAnsi="Arial" w:cs="Arial"/>
        </w:rPr>
        <w:lastRenderedPageBreak/>
        <w:t>sólo pueden verse afectados bienes que no sean del dominio público. Sentencia firmada el 28 de junio de 2019.</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rsidR="0091714F" w:rsidRPr="0091714F" w:rsidRDefault="0091714F" w:rsidP="00AB1925">
      <w:pPr>
        <w:pStyle w:val="Sinespaciado"/>
        <w:spacing w:line="360" w:lineRule="auto"/>
        <w:ind w:left="426"/>
        <w:jc w:val="both"/>
        <w:rPr>
          <w:rFonts w:ascii="Arial" w:hAnsi="Arial" w:cs="Arial"/>
        </w:rPr>
      </w:pPr>
    </w:p>
    <w:p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p>
    <w:p w:rsidR="00E71201"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Con fecha 25 de agosto de 2021, se realizó el requerimiento de pago y embargo al H. Ayuntamiento de Mérida, sin embargo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rsidR="003A26D4" w:rsidRDefault="003A26D4" w:rsidP="00E71201">
      <w:pPr>
        <w:pBdr>
          <w:top w:val="nil"/>
          <w:left w:val="nil"/>
          <w:bottom w:val="nil"/>
          <w:right w:val="nil"/>
          <w:between w:val="nil"/>
        </w:pBdr>
        <w:spacing w:after="0" w:line="360" w:lineRule="auto"/>
        <w:ind w:left="426"/>
        <w:jc w:val="both"/>
        <w:rPr>
          <w:rFonts w:ascii="Arial" w:eastAsia="Century Gothic" w:hAnsi="Arial" w:cs="Arial"/>
          <w:color w:val="000000"/>
        </w:rPr>
      </w:pPr>
    </w:p>
    <w:p w:rsidR="0091714F"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Con fecha 17 de diciembre del año 2021, se compareció a la audiencia incidental en autos del Juicio de Amparo 1509-2021-I del Juzgado Primero de Distrito en el Estado de Yucatán, en el cual se solicita se conceda la suspensión de los actos reclamados y se aportan pruebas, respecto a la </w:t>
      </w:r>
      <w:r w:rsidRPr="0091714F">
        <w:rPr>
          <w:rFonts w:ascii="Arial" w:eastAsia="Century Gothic" w:hAnsi="Arial" w:cs="Arial"/>
          <w:color w:val="000000"/>
        </w:rPr>
        <w:lastRenderedPageBreak/>
        <w:t xml:space="preserve">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rsidR="003A26D4" w:rsidRPr="0091714F" w:rsidRDefault="003A26D4" w:rsidP="00E71201">
      <w:pPr>
        <w:pBdr>
          <w:top w:val="nil"/>
          <w:left w:val="nil"/>
          <w:bottom w:val="nil"/>
          <w:right w:val="nil"/>
          <w:between w:val="nil"/>
        </w:pBdr>
        <w:spacing w:after="0" w:line="360" w:lineRule="auto"/>
        <w:ind w:left="426"/>
        <w:jc w:val="both"/>
        <w:rPr>
          <w:rFonts w:ascii="Arial" w:eastAsia="Century Gothic" w:hAnsi="Arial" w:cs="Arial"/>
          <w:color w:val="000000"/>
        </w:rPr>
      </w:pPr>
    </w:p>
    <w:p w:rsidR="0091714F" w:rsidRDefault="0091714F" w:rsidP="006C20FE">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El día 22 de marzo de 2022, se rindió informe justificado en autos del Juicio de amparo 920/2022, del Juzgado Sexto de Distrito en Materia Civil en la Ciudad de México, promovido por Banco Santander (México), S.A., Institución de Banca Múltiple, Grupo Financiero Santander, por la abstinencia del Municipio de Mérida, Yucatán, de dar cumplimiento a la sentencia interlocutoria del 31 de octubre del 2018.</w:t>
      </w:r>
    </w:p>
    <w:p w:rsidR="004C4CB8" w:rsidRDefault="004C4CB8" w:rsidP="006C20FE">
      <w:pPr>
        <w:pBdr>
          <w:top w:val="nil"/>
          <w:left w:val="nil"/>
          <w:bottom w:val="nil"/>
          <w:right w:val="nil"/>
          <w:between w:val="nil"/>
        </w:pBdr>
        <w:spacing w:after="0" w:line="360" w:lineRule="auto"/>
        <w:ind w:left="426"/>
        <w:jc w:val="both"/>
        <w:rPr>
          <w:rFonts w:ascii="Arial" w:eastAsia="Century Gothic" w:hAnsi="Arial" w:cs="Arial"/>
          <w:color w:val="000000"/>
        </w:rPr>
      </w:pPr>
    </w:p>
    <w:p w:rsidR="004C4CB8" w:rsidRPr="004C4CB8" w:rsidRDefault="004C4CB8" w:rsidP="004C4CB8">
      <w:pPr>
        <w:pBdr>
          <w:top w:val="nil"/>
          <w:left w:val="nil"/>
          <w:bottom w:val="nil"/>
          <w:right w:val="nil"/>
          <w:between w:val="nil"/>
        </w:pBdr>
        <w:spacing w:line="360" w:lineRule="auto"/>
        <w:ind w:left="426"/>
        <w:jc w:val="both"/>
        <w:rPr>
          <w:rFonts w:ascii="Arial" w:eastAsia="Century Gothic" w:hAnsi="Arial" w:cs="Arial"/>
          <w:color w:val="000000"/>
        </w:rPr>
      </w:pPr>
      <w:r w:rsidRPr="004C4CB8">
        <w:rPr>
          <w:rFonts w:ascii="Arial" w:eastAsia="Century Gothic" w:hAnsi="Arial" w:cs="Arial"/>
          <w:color w:val="000000"/>
        </w:rPr>
        <w:t>En fecha 12 de septiembre de 2021, se emitió sentencia en el Juicio de Amparo 920/2022, del Juzgado Sexto de Distrito en Materia Civil en la Ciudad de México, en el cual Amparó y Protegió a Banco Santander (México), S.A., Institución de Banca Múltiple, Grupo Financiero Santander en contra del acto que reclamo del Municipio de Mérida, para efectos de que el Municipio de Mérida, Yucatán, dé puntual y cabal cumplimiento a la sentencia de treinta y uno de octubre de dos mil dieciocho, dictada dentro de los autos del juicio ordinario mercantil 498/2013, radicado en el Juzgado Tercero de Distrito en Materia Civil en la Cuidad de México.</w:t>
      </w:r>
    </w:p>
    <w:p w:rsidR="00EC0F98" w:rsidRPr="00D72314" w:rsidRDefault="004C4CB8" w:rsidP="00D72314">
      <w:pPr>
        <w:pBdr>
          <w:top w:val="nil"/>
          <w:left w:val="nil"/>
          <w:bottom w:val="nil"/>
          <w:right w:val="nil"/>
          <w:between w:val="nil"/>
        </w:pBdr>
        <w:spacing w:line="360" w:lineRule="auto"/>
        <w:ind w:left="426"/>
        <w:jc w:val="both"/>
        <w:rPr>
          <w:rFonts w:ascii="Arial" w:eastAsia="Century Gothic" w:hAnsi="Arial" w:cs="Arial"/>
          <w:color w:val="000000"/>
        </w:rPr>
      </w:pPr>
      <w:r w:rsidRPr="004C4CB8">
        <w:rPr>
          <w:rFonts w:ascii="Arial" w:eastAsia="Century Gothic" w:hAnsi="Arial" w:cs="Arial"/>
          <w:color w:val="000000"/>
        </w:rPr>
        <w:t>El día 30 de septiembre de 2022, se interpuso recurso de revisión en contra de la resolución dictada en el Juicio de Amparo 920/2022, del Juzgado Sexto de Distrito en Materia Civil en la Ciudad de México, de fecha 12 de septiembre de 2022.</w:t>
      </w:r>
    </w:p>
    <w:p w:rsidR="00946FD1" w:rsidRPr="00264864" w:rsidRDefault="00946FD1" w:rsidP="00264864">
      <w:pPr>
        <w:pBdr>
          <w:top w:val="nil"/>
          <w:left w:val="nil"/>
          <w:bottom w:val="nil"/>
          <w:right w:val="nil"/>
          <w:between w:val="nil"/>
        </w:pBdr>
        <w:spacing w:line="360" w:lineRule="auto"/>
        <w:ind w:left="426"/>
        <w:jc w:val="both"/>
        <w:rPr>
          <w:rFonts w:ascii="Arial" w:eastAsia="Cambria" w:hAnsi="Arial" w:cs="Arial"/>
          <w:b/>
        </w:rPr>
      </w:pPr>
      <w:r w:rsidRPr="00264864">
        <w:rPr>
          <w:rFonts w:ascii="Arial" w:eastAsia="Cambria" w:hAnsi="Arial" w:cs="Arial"/>
          <w:b/>
        </w:rPr>
        <w:t>TAX COMPANY, S.C</w:t>
      </w:r>
    </w:p>
    <w:p w:rsidR="00946FD1" w:rsidRPr="0026486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 xml:space="preserve">El 13 de Enero de 2020, se emitió el acuerdo dictado por el juez del Tribunal Contencioso Administrativo del Municipio de Merida, en el que consta la sentencia definitiva de fecha 26 de noviembre 2019, ha quedado firme para todos los efectos legales que correspondan. </w:t>
      </w:r>
    </w:p>
    <w:p w:rsidR="00D6198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 xml:space="preserve">Lo anterior en referencia al acuerdo 04/2019 de fecha 6 de mayo de 2019 relativo a la resolución del procedimiento administrativo de recisión de contrato de prestación de servicios DA-2017-ACTUALIZACION BASE CARTOGRAFICA -01-01,y su convenio modificatorio, en los cuales se ordenó realizar el finiquito correspondiente, acordándose pagar a la persona moral denominada </w:t>
      </w:r>
      <w:r w:rsidRPr="00264864">
        <w:rPr>
          <w:rFonts w:ascii="Arial" w:eastAsia="Cambria" w:hAnsi="Arial" w:cs="Arial"/>
        </w:rPr>
        <w:lastRenderedPageBreak/>
        <w:t>TAX COMPANY, S.C. la cantidad de $ 3,950,221.03 (tres millones novecientos cincuenta mil doscientos pesos 03/100 M.N.) por los servicios que fueron prestados según la cláusula quinta del contrato de prestación de servicios DA-2017-ACTUALIZACION BASE CARTOGRAFICA-01-01</w:t>
      </w:r>
      <w:r w:rsidR="00017B51" w:rsidRPr="00264864">
        <w:rPr>
          <w:rFonts w:ascii="Arial" w:eastAsia="Cambria" w:hAnsi="Arial" w:cs="Arial"/>
        </w:rPr>
        <w:t xml:space="preserve"> </w:t>
      </w:r>
      <w:r w:rsidRPr="00264864">
        <w:rPr>
          <w:rFonts w:ascii="Arial" w:eastAsia="Cambria" w:hAnsi="Arial" w:cs="Arial"/>
        </w:rPr>
        <w:t xml:space="preserve">de fecha </w:t>
      </w:r>
      <w:r w:rsidR="00264864">
        <w:rPr>
          <w:rFonts w:ascii="Arial" w:eastAsia="Cambria" w:hAnsi="Arial" w:cs="Arial"/>
        </w:rPr>
        <w:t>24 de noviembre de 2017, p</w:t>
      </w:r>
      <w:r w:rsidRPr="00264864">
        <w:rPr>
          <w:rFonts w:ascii="Arial" w:eastAsia="Cambria" w:hAnsi="Arial" w:cs="Arial"/>
        </w:rPr>
        <w:t>revia entrega de la factura que cuente con los requisitos legales y fiscales correspondientes.</w:t>
      </w:r>
    </w:p>
    <w:p w:rsidR="00D773C7" w:rsidRPr="00264864" w:rsidRDefault="00D773C7" w:rsidP="00E71201">
      <w:pPr>
        <w:pBdr>
          <w:top w:val="nil"/>
          <w:left w:val="nil"/>
          <w:bottom w:val="nil"/>
          <w:right w:val="nil"/>
          <w:between w:val="nil"/>
        </w:pBdr>
        <w:spacing w:after="0" w:line="360" w:lineRule="auto"/>
        <w:jc w:val="both"/>
        <w:rPr>
          <w:rFonts w:ascii="Arial" w:eastAsia="Cambria" w:hAnsi="Arial" w:cs="Arial"/>
        </w:rPr>
      </w:pPr>
    </w:p>
    <w:p w:rsidR="00946FD1" w:rsidRPr="00D61984" w:rsidRDefault="00946FD1" w:rsidP="00D61984">
      <w:pPr>
        <w:pStyle w:val="Prrafodelista"/>
        <w:numPr>
          <w:ilvl w:val="0"/>
          <w:numId w:val="13"/>
        </w:numPr>
        <w:spacing w:after="0" w:line="360" w:lineRule="auto"/>
        <w:jc w:val="both"/>
        <w:rPr>
          <w:rFonts w:ascii="Arial" w:eastAsia="Cambria" w:hAnsi="Arial" w:cs="Arial"/>
          <w:b/>
          <w:sz w:val="24"/>
          <w:szCs w:val="24"/>
        </w:rPr>
      </w:pPr>
      <w:r w:rsidRPr="00D61984">
        <w:rPr>
          <w:rFonts w:ascii="Arial" w:eastAsia="Cambria" w:hAnsi="Arial" w:cs="Arial"/>
          <w:b/>
          <w:sz w:val="24"/>
          <w:szCs w:val="24"/>
        </w:rPr>
        <w:t>Valuación Actuarial</w:t>
      </w:r>
    </w:p>
    <w:p w:rsidR="00946FD1" w:rsidRPr="00D61984" w:rsidRDefault="00946FD1" w:rsidP="009329C7">
      <w:pPr>
        <w:pStyle w:val="Prrafodelista"/>
        <w:spacing w:line="360" w:lineRule="auto"/>
        <w:ind w:left="426"/>
        <w:jc w:val="both"/>
        <w:rPr>
          <w:rFonts w:ascii="Arial" w:hAnsi="Arial" w:cs="Arial"/>
        </w:rPr>
      </w:pPr>
      <w:r w:rsidRPr="00D61984">
        <w:rPr>
          <w:rFonts w:ascii="Arial" w:eastAsia="Cambria" w:hAnsi="Arial" w:cs="Arial"/>
        </w:rPr>
        <w:t>Con el propósito de dar cumplimiento</w:t>
      </w:r>
      <w:r w:rsidR="009C23C1" w:rsidRPr="00D61984">
        <w:rPr>
          <w:rFonts w:ascii="Arial" w:eastAsia="Cambria" w:hAnsi="Arial" w:cs="Arial"/>
        </w:rPr>
        <w:t xml:space="preserve"> a lo dispuesto en el artículo 18</w:t>
      </w:r>
      <w:r w:rsidRPr="00D61984">
        <w:rPr>
          <w:rFonts w:ascii="Arial" w:eastAsia="Cambria" w:hAnsi="Arial" w:cs="Arial"/>
        </w:rPr>
        <w:t xml:space="preserve"> fracción </w:t>
      </w:r>
      <w:r w:rsidR="009C23C1" w:rsidRPr="00D61984">
        <w:rPr>
          <w:rFonts w:ascii="Arial" w:eastAsia="Cambria" w:hAnsi="Arial" w:cs="Arial"/>
        </w:rPr>
        <w:t>I</w:t>
      </w:r>
      <w:r w:rsidRPr="00D61984">
        <w:rPr>
          <w:rFonts w:ascii="Arial" w:eastAsia="Cambria" w:hAnsi="Arial" w:cs="Arial"/>
        </w:rPr>
        <w:t xml:space="preserve">V de la </w:t>
      </w:r>
      <w:r w:rsidRPr="00D61984">
        <w:rPr>
          <w:rFonts w:ascii="Arial" w:hAnsi="Arial" w:cs="Arial"/>
        </w:rPr>
        <w:t>L</w:t>
      </w:r>
      <w:r w:rsidRPr="00D61984">
        <w:rPr>
          <w:rFonts w:ascii="Arial" w:eastAsia="Cambria" w:hAnsi="Arial" w:cs="Arial"/>
        </w:rPr>
        <w:t xml:space="preserve">ey de Disciplina Financiera de las Entidades Federativas y los Municipios, El Ayuntamiento de Mérida tiene su última valuación </w:t>
      </w:r>
      <w:r w:rsidRPr="00D61984">
        <w:rPr>
          <w:rFonts w:ascii="Arial" w:hAnsi="Arial" w:cs="Arial"/>
        </w:rPr>
        <w:t>actuarial de las pensiones de sus trabaja</w:t>
      </w:r>
      <w:r w:rsidR="00C9657D" w:rsidRPr="00D61984">
        <w:rPr>
          <w:rFonts w:ascii="Arial" w:hAnsi="Arial" w:cs="Arial"/>
        </w:rPr>
        <w:t>dores al 31 de Diciembre</w:t>
      </w:r>
      <w:r w:rsidR="007800D7" w:rsidRPr="00D61984">
        <w:rPr>
          <w:rFonts w:ascii="Arial" w:hAnsi="Arial" w:cs="Arial"/>
        </w:rPr>
        <w:t xml:space="preserve"> de 2021</w:t>
      </w:r>
      <w:r w:rsidRPr="00D61984">
        <w:rPr>
          <w:rFonts w:ascii="Arial" w:hAnsi="Arial" w:cs="Arial"/>
        </w:rPr>
        <w:t>.</w:t>
      </w:r>
    </w:p>
    <w:p w:rsidR="00B8451A" w:rsidRPr="00554417" w:rsidRDefault="00946FD1" w:rsidP="00554417">
      <w:pPr>
        <w:spacing w:line="360" w:lineRule="auto"/>
        <w:ind w:left="426"/>
        <w:jc w:val="both"/>
        <w:rPr>
          <w:rFonts w:ascii="Arial" w:hAnsi="Arial" w:cs="Arial"/>
          <w:color w:val="000000"/>
          <w:lang w:eastAsia="es-MX"/>
        </w:rPr>
      </w:pPr>
      <w:r w:rsidRPr="00D61984">
        <w:rPr>
          <w:rFonts w:ascii="Arial" w:hAnsi="Arial" w:cs="Arial"/>
          <w:color w:val="000000"/>
          <w:lang w:eastAsia="es-MX"/>
        </w:rPr>
        <w:t>La presente valuación cumple con los lineamientos de la Norma de Información Financiera, NIF, D-3 “Beneficios a los empleados”, la información referente al SIRJUM se incorpora como instrumento auxiliar de financiamiento, debido a que el SIRJUM y el CGT son estructuras de beneficios distintos, así como sus esquemas de financiamiento; con ello se incorpora el esfuerzo presupuestal de la administración municipal.</w:t>
      </w:r>
    </w:p>
    <w:p w:rsidR="00946FD1" w:rsidRPr="008F11FD" w:rsidRDefault="00D72314" w:rsidP="008F11FD">
      <w:pPr>
        <w:spacing w:line="360" w:lineRule="auto"/>
        <w:ind w:left="426"/>
        <w:jc w:val="center"/>
        <w:rPr>
          <w:rFonts w:ascii="Arial" w:hAnsi="Arial" w:cs="Arial"/>
          <w:color w:val="000000"/>
          <w:lang w:eastAsia="es-MX"/>
        </w:rPr>
      </w:pPr>
      <w:r w:rsidRPr="00BD444B">
        <w:rPr>
          <w:noProof/>
          <w:lang w:eastAsia="es-MX"/>
        </w:rPr>
        <w:drawing>
          <wp:anchor distT="0" distB="0" distL="114300" distR="114300" simplePos="0" relativeHeight="251652608" behindDoc="0" locked="0" layoutInCell="1" allowOverlap="1" wp14:anchorId="0FE5B776" wp14:editId="7ABBE1D6">
            <wp:simplePos x="0" y="0"/>
            <wp:positionH relativeFrom="column">
              <wp:posOffset>610870</wp:posOffset>
            </wp:positionH>
            <wp:positionV relativeFrom="paragraph">
              <wp:posOffset>332267</wp:posOffset>
            </wp:positionV>
            <wp:extent cx="5103495" cy="3714115"/>
            <wp:effectExtent l="0" t="0" r="1905" b="635"/>
            <wp:wrapThrough wrapText="bothSides">
              <wp:wrapPolygon edited="0">
                <wp:start x="0" y="0"/>
                <wp:lineTo x="0" y="21493"/>
                <wp:lineTo x="21527" y="21493"/>
                <wp:lineTo x="21527"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103495" cy="3714115"/>
                    </a:xfrm>
                    <a:prstGeom prst="rect">
                      <a:avLst/>
                    </a:prstGeom>
                  </pic:spPr>
                </pic:pic>
              </a:graphicData>
            </a:graphic>
            <wp14:sizeRelH relativeFrom="page">
              <wp14:pctWidth>0</wp14:pctWidth>
            </wp14:sizeRelH>
            <wp14:sizeRelV relativeFrom="page">
              <wp14:pctHeight>0</wp14:pctHeight>
            </wp14:sizeRelV>
          </wp:anchor>
        </w:drawing>
      </w:r>
      <w:r w:rsidR="00DA36DF" w:rsidRPr="005E7FD2">
        <w:rPr>
          <w:rFonts w:ascii="Cambria" w:hAnsi="Cambria" w:cs="Century Gothic"/>
          <w:b/>
          <w:color w:val="000000"/>
          <w:sz w:val="24"/>
          <w:szCs w:val="24"/>
          <w:lang w:eastAsia="es-MX"/>
        </w:rPr>
        <w:t xml:space="preserve">VALUACION ACTUARIAL AL 31 DE </w:t>
      </w:r>
      <w:r w:rsidR="00BD444B">
        <w:rPr>
          <w:rFonts w:ascii="Cambria" w:hAnsi="Cambria" w:cs="Century Gothic"/>
          <w:b/>
          <w:color w:val="000000"/>
          <w:sz w:val="24"/>
          <w:szCs w:val="24"/>
          <w:lang w:eastAsia="es-MX"/>
        </w:rPr>
        <w:t>DICIEMBRE</w:t>
      </w:r>
      <w:r w:rsidR="00DA36DF" w:rsidRPr="005E7FD2">
        <w:rPr>
          <w:rFonts w:ascii="Cambria" w:hAnsi="Cambria" w:cs="Century Gothic"/>
          <w:b/>
          <w:color w:val="000000"/>
          <w:sz w:val="24"/>
          <w:szCs w:val="24"/>
          <w:lang w:eastAsia="es-MX"/>
        </w:rPr>
        <w:t xml:space="preserve"> DE 2021</w:t>
      </w:r>
    </w:p>
    <w:p w:rsidR="00F125F0" w:rsidRPr="008F11FD" w:rsidRDefault="00F125F0" w:rsidP="008F11FD">
      <w:pPr>
        <w:jc w:val="center"/>
        <w:rPr>
          <w:rFonts w:ascii="Cambria" w:hAnsi="Cambria" w:cs="Century Gothic"/>
          <w:b/>
          <w:color w:val="000000"/>
          <w:sz w:val="24"/>
          <w:szCs w:val="24"/>
          <w:lang w:eastAsia="es-MX"/>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9B4693" w:rsidRDefault="009B4693" w:rsidP="009C54C9">
      <w:pPr>
        <w:pStyle w:val="Sinespaciado"/>
        <w:rPr>
          <w:rFonts w:ascii="Arial" w:hAnsi="Arial" w:cs="Arial"/>
          <w:b/>
          <w:sz w:val="28"/>
          <w:szCs w:val="28"/>
        </w:rPr>
      </w:pPr>
    </w:p>
    <w:p w:rsidR="00CF6A99" w:rsidRDefault="00CF6A99" w:rsidP="00282A7A">
      <w:pPr>
        <w:pStyle w:val="Sinespaciado"/>
        <w:tabs>
          <w:tab w:val="left" w:pos="709"/>
        </w:tabs>
        <w:ind w:left="284"/>
        <w:rPr>
          <w:rFonts w:ascii="Arial" w:hAnsi="Arial" w:cs="Arial"/>
          <w:b/>
          <w:sz w:val="28"/>
          <w:szCs w:val="28"/>
        </w:rPr>
      </w:pPr>
      <w:r w:rsidRPr="009C54C9">
        <w:rPr>
          <w:rFonts w:ascii="Arial" w:hAnsi="Arial" w:cs="Arial"/>
          <w:b/>
          <w:sz w:val="28"/>
          <w:szCs w:val="28"/>
        </w:rPr>
        <w:lastRenderedPageBreak/>
        <w:t>II)</w:t>
      </w:r>
      <w:r w:rsidRPr="009C54C9">
        <w:rPr>
          <w:rFonts w:ascii="Arial" w:hAnsi="Arial" w:cs="Arial"/>
          <w:b/>
          <w:sz w:val="28"/>
          <w:szCs w:val="28"/>
        </w:rPr>
        <w:tab/>
        <w:t>Notas al Estado de Actividades</w:t>
      </w:r>
    </w:p>
    <w:p w:rsidR="00DA36DF" w:rsidRPr="009C54C9" w:rsidRDefault="00DA36DF" w:rsidP="009C54C9">
      <w:pPr>
        <w:pStyle w:val="Sinespaciado"/>
        <w:rPr>
          <w:rFonts w:ascii="Arial" w:hAnsi="Arial" w:cs="Arial"/>
          <w:b/>
          <w:sz w:val="28"/>
          <w:szCs w:val="28"/>
        </w:rPr>
      </w:pPr>
    </w:p>
    <w:p w:rsidR="00DA36DF" w:rsidRDefault="00CF6A99" w:rsidP="00C862E3">
      <w:pPr>
        <w:pStyle w:val="Prrafodelista"/>
        <w:numPr>
          <w:ilvl w:val="0"/>
          <w:numId w:val="14"/>
        </w:numPr>
        <w:spacing w:after="101" w:line="224" w:lineRule="exact"/>
        <w:ind w:left="1134" w:hanging="283"/>
        <w:jc w:val="both"/>
        <w:rPr>
          <w:rFonts w:cs="Arial"/>
          <w:b/>
          <w:sz w:val="24"/>
          <w:szCs w:val="24"/>
        </w:rPr>
      </w:pPr>
      <w:r w:rsidRPr="0066134C">
        <w:rPr>
          <w:rFonts w:cs="Arial"/>
          <w:b/>
          <w:sz w:val="24"/>
          <w:szCs w:val="24"/>
        </w:rPr>
        <w:t>Ingresos de Gestión</w:t>
      </w:r>
    </w:p>
    <w:p w:rsidR="00BD444B" w:rsidRPr="0066134C" w:rsidRDefault="00BD444B" w:rsidP="00BD444B">
      <w:pPr>
        <w:pStyle w:val="Prrafodelista"/>
        <w:spacing w:after="101" w:line="224" w:lineRule="exact"/>
        <w:ind w:left="1440"/>
        <w:jc w:val="both"/>
        <w:rPr>
          <w:rFonts w:cs="Arial"/>
          <w:b/>
          <w:sz w:val="24"/>
          <w:szCs w:val="24"/>
        </w:rPr>
      </w:pPr>
    </w:p>
    <w:p w:rsidR="00A15C99" w:rsidRDefault="00DA36DF" w:rsidP="008F11FD">
      <w:pPr>
        <w:pStyle w:val="Prrafodelista"/>
        <w:tabs>
          <w:tab w:val="left" w:pos="1418"/>
        </w:tabs>
        <w:spacing w:line="360" w:lineRule="auto"/>
        <w:ind w:left="1416"/>
        <w:jc w:val="both"/>
        <w:rPr>
          <w:rFonts w:ascii="Arial" w:hAnsi="Arial" w:cs="Arial"/>
          <w:lang w:val="es-ES"/>
        </w:rPr>
      </w:pPr>
      <w:r w:rsidRPr="009329C7">
        <w:rPr>
          <w:rFonts w:ascii="Arial" w:hAnsi="Arial" w:cs="Arial"/>
          <w:lang w:val="es-ES"/>
        </w:rPr>
        <w:t>Comprende el importe de los ingresos provenientes de contribuciones, productos, aprovechamientos, así como de venta de bienes y prestación de servicios.</w:t>
      </w:r>
    </w:p>
    <w:p w:rsidR="00432DE7" w:rsidRPr="009329C7" w:rsidRDefault="00F53266" w:rsidP="00C862E3">
      <w:pPr>
        <w:pStyle w:val="Prrafodelista"/>
        <w:tabs>
          <w:tab w:val="left" w:pos="1418"/>
        </w:tabs>
        <w:spacing w:line="360" w:lineRule="auto"/>
        <w:ind w:left="1416"/>
        <w:jc w:val="both"/>
        <w:rPr>
          <w:rFonts w:ascii="Arial" w:hAnsi="Arial" w:cs="Arial"/>
          <w:lang w:val="es-ES"/>
        </w:rPr>
      </w:pPr>
      <w:r w:rsidRPr="00432DE7">
        <w:rPr>
          <w:noProof/>
          <w:lang w:eastAsia="es-MX"/>
        </w:rPr>
        <w:drawing>
          <wp:anchor distT="0" distB="0" distL="114300" distR="114300" simplePos="0" relativeHeight="251660800" behindDoc="0" locked="0" layoutInCell="1" allowOverlap="1">
            <wp:simplePos x="0" y="0"/>
            <wp:positionH relativeFrom="column">
              <wp:posOffset>676275</wp:posOffset>
            </wp:positionH>
            <wp:positionV relativeFrom="paragraph">
              <wp:posOffset>40640</wp:posOffset>
            </wp:positionV>
            <wp:extent cx="5732145" cy="5715000"/>
            <wp:effectExtent l="0" t="0" r="2540" b="0"/>
            <wp:wrapThrough wrapText="bothSides">
              <wp:wrapPolygon edited="0">
                <wp:start x="0" y="0"/>
                <wp:lineTo x="0" y="21526"/>
                <wp:lineTo x="21536" y="21526"/>
                <wp:lineTo x="21536" y="0"/>
                <wp:lineTo x="0" y="0"/>
              </wp:wrapPolygon>
            </wp:wrapThrough>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145"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201" w:rsidRPr="00D63265" w:rsidRDefault="00E71201" w:rsidP="00D63265">
      <w:pPr>
        <w:pStyle w:val="Prrafodelista"/>
        <w:ind w:left="709"/>
        <w:jc w:val="center"/>
        <w:rPr>
          <w:sz w:val="24"/>
          <w:szCs w:val="24"/>
          <w:lang w:val="es-ES"/>
        </w:rPr>
      </w:pPr>
    </w:p>
    <w:p w:rsidR="00E71201" w:rsidRPr="00E71201" w:rsidRDefault="00E71201" w:rsidP="00432DE7">
      <w:pPr>
        <w:jc w:val="center"/>
        <w:rPr>
          <w:rFonts w:ascii="Cambria" w:hAnsi="Cambria"/>
          <w:lang w:val="es-ES"/>
        </w:rPr>
      </w:pPr>
    </w:p>
    <w:p w:rsidR="00E66333" w:rsidRDefault="00E66333" w:rsidP="00E66333">
      <w:pPr>
        <w:pStyle w:val="Prrafodelista"/>
        <w:ind w:left="1146"/>
        <w:jc w:val="both"/>
        <w:rPr>
          <w:rFonts w:ascii="Cambria" w:eastAsia="Cambria" w:hAnsi="Cambria" w:cs="Cambria"/>
          <w:b/>
          <w:sz w:val="24"/>
          <w:szCs w:val="24"/>
        </w:rPr>
      </w:pPr>
    </w:p>
    <w:p w:rsidR="00F53266" w:rsidRDefault="00F53266" w:rsidP="00E66333">
      <w:pPr>
        <w:pStyle w:val="Prrafodelista"/>
        <w:ind w:left="1146"/>
        <w:jc w:val="both"/>
        <w:rPr>
          <w:rFonts w:ascii="Cambria" w:eastAsia="Cambria" w:hAnsi="Cambria" w:cs="Cambria"/>
          <w:b/>
          <w:sz w:val="24"/>
          <w:szCs w:val="24"/>
        </w:rPr>
      </w:pPr>
    </w:p>
    <w:p w:rsidR="00F53266" w:rsidRDefault="00F53266" w:rsidP="00E66333">
      <w:pPr>
        <w:pStyle w:val="Prrafodelista"/>
        <w:ind w:left="1146"/>
        <w:jc w:val="both"/>
        <w:rPr>
          <w:rFonts w:ascii="Cambria" w:eastAsia="Cambria" w:hAnsi="Cambria" w:cs="Cambria"/>
          <w:b/>
          <w:sz w:val="24"/>
          <w:szCs w:val="24"/>
        </w:rPr>
      </w:pPr>
    </w:p>
    <w:p w:rsidR="00F53266" w:rsidRDefault="00F53266" w:rsidP="00E66333">
      <w:pPr>
        <w:pStyle w:val="Prrafodelista"/>
        <w:ind w:left="1146"/>
        <w:jc w:val="both"/>
        <w:rPr>
          <w:rFonts w:ascii="Cambria" w:eastAsia="Cambria" w:hAnsi="Cambria" w:cs="Cambria"/>
          <w:b/>
          <w:sz w:val="24"/>
          <w:szCs w:val="24"/>
        </w:rPr>
      </w:pPr>
    </w:p>
    <w:p w:rsidR="00F53266" w:rsidRDefault="00F53266" w:rsidP="00D013F6">
      <w:pPr>
        <w:pStyle w:val="Prrafodelista"/>
        <w:ind w:left="1146"/>
        <w:jc w:val="both"/>
        <w:rPr>
          <w:rFonts w:ascii="Cambria" w:eastAsia="Cambria" w:hAnsi="Cambria" w:cs="Cambria"/>
          <w:b/>
          <w:sz w:val="24"/>
          <w:szCs w:val="24"/>
        </w:rPr>
      </w:pPr>
    </w:p>
    <w:p w:rsidR="00F53266" w:rsidRPr="00D013F6" w:rsidRDefault="00F53266" w:rsidP="00D013F6">
      <w:pPr>
        <w:jc w:val="both"/>
        <w:rPr>
          <w:rFonts w:ascii="Cambria" w:eastAsia="Cambria" w:hAnsi="Cambria" w:cs="Cambria"/>
          <w:b/>
          <w:sz w:val="24"/>
          <w:szCs w:val="24"/>
        </w:rPr>
      </w:pPr>
    </w:p>
    <w:p w:rsidR="00F53266" w:rsidRDefault="00F53266" w:rsidP="00D013F6">
      <w:pPr>
        <w:pStyle w:val="Prrafodelista"/>
        <w:ind w:left="1146"/>
        <w:jc w:val="both"/>
        <w:rPr>
          <w:rFonts w:ascii="Cambria" w:eastAsia="Cambria" w:hAnsi="Cambria" w:cs="Cambria"/>
          <w:b/>
          <w:sz w:val="24"/>
          <w:szCs w:val="24"/>
        </w:rPr>
      </w:pPr>
    </w:p>
    <w:p w:rsidR="00F53266" w:rsidRDefault="00F53266" w:rsidP="00D013F6">
      <w:pPr>
        <w:pStyle w:val="Prrafodelista"/>
        <w:ind w:left="1146"/>
        <w:jc w:val="both"/>
        <w:rPr>
          <w:rFonts w:ascii="Cambria" w:eastAsia="Cambria" w:hAnsi="Cambria" w:cs="Cambria"/>
          <w:b/>
          <w:sz w:val="24"/>
          <w:szCs w:val="24"/>
        </w:rPr>
      </w:pPr>
    </w:p>
    <w:p w:rsidR="00F53266" w:rsidRDefault="00F53266" w:rsidP="00D013F6">
      <w:pPr>
        <w:pStyle w:val="Prrafodelista"/>
        <w:ind w:left="1146"/>
        <w:jc w:val="both"/>
        <w:rPr>
          <w:rFonts w:ascii="Cambria" w:eastAsia="Cambria" w:hAnsi="Cambria" w:cs="Cambria"/>
          <w:b/>
          <w:sz w:val="24"/>
          <w:szCs w:val="24"/>
        </w:rPr>
      </w:pPr>
    </w:p>
    <w:p w:rsidR="00F53266" w:rsidRPr="00D013F6" w:rsidRDefault="00F53266" w:rsidP="00D013F6">
      <w:pPr>
        <w:jc w:val="both"/>
        <w:rPr>
          <w:rFonts w:ascii="Cambria" w:eastAsia="Cambria" w:hAnsi="Cambria" w:cs="Cambria"/>
          <w:b/>
          <w:sz w:val="24"/>
          <w:szCs w:val="24"/>
        </w:rPr>
      </w:pPr>
    </w:p>
    <w:p w:rsidR="00F53266" w:rsidRDefault="00F53266" w:rsidP="00D013F6">
      <w:pPr>
        <w:pStyle w:val="Prrafodelista"/>
        <w:ind w:left="1146"/>
        <w:jc w:val="both"/>
        <w:rPr>
          <w:rFonts w:ascii="Cambria" w:eastAsia="Cambria" w:hAnsi="Cambria" w:cs="Cambria"/>
          <w:b/>
          <w:sz w:val="24"/>
          <w:szCs w:val="24"/>
        </w:rPr>
      </w:pPr>
    </w:p>
    <w:p w:rsidR="00F53266" w:rsidRDefault="00F53266" w:rsidP="00D013F6">
      <w:pPr>
        <w:pStyle w:val="Prrafodelista"/>
        <w:ind w:left="1146"/>
        <w:jc w:val="both"/>
        <w:rPr>
          <w:rFonts w:ascii="Cambria" w:eastAsia="Cambria" w:hAnsi="Cambria" w:cs="Cambria"/>
          <w:b/>
          <w:sz w:val="24"/>
          <w:szCs w:val="24"/>
        </w:rPr>
      </w:pPr>
    </w:p>
    <w:p w:rsidR="00F53266" w:rsidRDefault="00F53266" w:rsidP="00F53266">
      <w:pPr>
        <w:pStyle w:val="Prrafodelista"/>
        <w:ind w:left="1146"/>
        <w:jc w:val="both"/>
        <w:rPr>
          <w:rFonts w:ascii="Cambria" w:eastAsia="Cambria" w:hAnsi="Cambria" w:cs="Cambria"/>
          <w:b/>
          <w:sz w:val="24"/>
          <w:szCs w:val="24"/>
        </w:rPr>
      </w:pPr>
    </w:p>
    <w:p w:rsidR="00F53266" w:rsidRPr="00F53266" w:rsidRDefault="00F53266" w:rsidP="00F53266"/>
    <w:p w:rsidR="00F53266" w:rsidRPr="00F53266" w:rsidRDefault="00F53266" w:rsidP="00F53266"/>
    <w:p w:rsidR="00F53266" w:rsidRPr="00F53266" w:rsidRDefault="00F53266" w:rsidP="00F53266"/>
    <w:p w:rsidR="00F53266" w:rsidRPr="00F53266" w:rsidRDefault="00F53266" w:rsidP="00F53266"/>
    <w:p w:rsidR="00F53266" w:rsidRPr="00F53266" w:rsidRDefault="00F53266" w:rsidP="00F53266"/>
    <w:p w:rsidR="00F53266" w:rsidRPr="00F53266" w:rsidRDefault="00F53266" w:rsidP="00F53266"/>
    <w:p w:rsidR="00F53266" w:rsidRPr="00F53266" w:rsidRDefault="00F53266" w:rsidP="00F53266"/>
    <w:p w:rsidR="00F53266" w:rsidRDefault="00F53266" w:rsidP="00F53266"/>
    <w:p w:rsidR="00F53266" w:rsidRDefault="00D013F6" w:rsidP="00F53266">
      <w:pPr>
        <w:tabs>
          <w:tab w:val="left" w:pos="8130"/>
        </w:tabs>
      </w:pPr>
      <w:r w:rsidRPr="00432DE7">
        <w:rPr>
          <w:noProof/>
          <w:lang w:eastAsia="es-MX"/>
        </w:rPr>
        <w:lastRenderedPageBreak/>
        <w:drawing>
          <wp:anchor distT="0" distB="0" distL="114300" distR="114300" simplePos="0" relativeHeight="251655680" behindDoc="0" locked="0" layoutInCell="1" allowOverlap="1" wp14:anchorId="12F366E0" wp14:editId="1EBE6DE7">
            <wp:simplePos x="0" y="0"/>
            <wp:positionH relativeFrom="column">
              <wp:posOffset>704850</wp:posOffset>
            </wp:positionH>
            <wp:positionV relativeFrom="paragraph">
              <wp:posOffset>-146050</wp:posOffset>
            </wp:positionV>
            <wp:extent cx="5181600" cy="2531110"/>
            <wp:effectExtent l="0" t="0" r="0" b="2540"/>
            <wp:wrapThrough wrapText="bothSides">
              <wp:wrapPolygon edited="0">
                <wp:start x="0" y="0"/>
                <wp:lineTo x="0" y="21459"/>
                <wp:lineTo x="21521" y="21459"/>
                <wp:lineTo x="21521" y="0"/>
                <wp:lineTo x="0" y="0"/>
              </wp:wrapPolygon>
            </wp:wrapThrough>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0" cy="253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266">
        <w:tab/>
      </w:r>
    </w:p>
    <w:p w:rsidR="00F53266" w:rsidRDefault="00F53266" w:rsidP="00F53266">
      <w:pPr>
        <w:tabs>
          <w:tab w:val="left" w:pos="8130"/>
        </w:tabs>
      </w:pPr>
    </w:p>
    <w:p w:rsidR="00F53266" w:rsidRDefault="00F53266" w:rsidP="00F53266">
      <w:pPr>
        <w:tabs>
          <w:tab w:val="left" w:pos="8130"/>
        </w:tabs>
      </w:pPr>
    </w:p>
    <w:p w:rsidR="00F53266" w:rsidRDefault="00F53266" w:rsidP="00F53266">
      <w:pPr>
        <w:tabs>
          <w:tab w:val="left" w:pos="8130"/>
        </w:tabs>
      </w:pPr>
    </w:p>
    <w:p w:rsidR="00F53266" w:rsidRDefault="00F53266" w:rsidP="00F53266">
      <w:pPr>
        <w:tabs>
          <w:tab w:val="left" w:pos="8130"/>
        </w:tabs>
      </w:pPr>
    </w:p>
    <w:p w:rsidR="00F53266" w:rsidRDefault="00F53266" w:rsidP="00F53266">
      <w:pPr>
        <w:tabs>
          <w:tab w:val="left" w:pos="8130"/>
        </w:tabs>
      </w:pPr>
    </w:p>
    <w:p w:rsidR="00F53266" w:rsidRDefault="00F53266" w:rsidP="00F53266">
      <w:pPr>
        <w:tabs>
          <w:tab w:val="left" w:pos="8130"/>
        </w:tabs>
      </w:pPr>
    </w:p>
    <w:p w:rsidR="00F53266" w:rsidRPr="00D013F6" w:rsidRDefault="00F53266" w:rsidP="00D013F6">
      <w:pPr>
        <w:jc w:val="both"/>
        <w:rPr>
          <w:rFonts w:ascii="Cambria" w:eastAsia="Cambria" w:hAnsi="Cambria" w:cs="Cambria"/>
          <w:b/>
          <w:sz w:val="24"/>
          <w:szCs w:val="24"/>
        </w:rPr>
      </w:pPr>
    </w:p>
    <w:p w:rsidR="00F53266" w:rsidRDefault="00F53266" w:rsidP="00F53266">
      <w:pPr>
        <w:pStyle w:val="Prrafodelista"/>
        <w:ind w:left="1146"/>
        <w:jc w:val="both"/>
        <w:rPr>
          <w:rFonts w:ascii="Cambria" w:eastAsia="Cambria" w:hAnsi="Cambria" w:cs="Cambria"/>
          <w:b/>
          <w:sz w:val="24"/>
          <w:szCs w:val="24"/>
        </w:rPr>
      </w:pPr>
    </w:p>
    <w:p w:rsidR="00DA36DF" w:rsidRPr="0066134C" w:rsidRDefault="00DA36DF" w:rsidP="00DA36DF">
      <w:pPr>
        <w:pStyle w:val="Prrafodelista"/>
        <w:numPr>
          <w:ilvl w:val="0"/>
          <w:numId w:val="16"/>
        </w:numPr>
        <w:jc w:val="both"/>
        <w:rPr>
          <w:rFonts w:ascii="Cambria" w:eastAsia="Cambria" w:hAnsi="Cambria" w:cs="Cambria"/>
          <w:b/>
          <w:sz w:val="24"/>
          <w:szCs w:val="24"/>
        </w:rPr>
      </w:pPr>
      <w:r w:rsidRPr="0066134C">
        <w:rPr>
          <w:rFonts w:ascii="Cambria" w:eastAsia="Cambria" w:hAnsi="Cambria" w:cs="Cambria"/>
          <w:b/>
          <w:sz w:val="24"/>
          <w:szCs w:val="24"/>
        </w:rPr>
        <w:t>Participaciones, Aportaciones, Convenios, Incentivos Derivados de la Colaboración Fiscal, Fondos Distintos de Aportaciones, Transferencias, Asignaciones, Subsidios y Subvenciones, y Pensiones y Jubilaciones</w:t>
      </w:r>
    </w:p>
    <w:p w:rsidR="00DA36DF" w:rsidRPr="008923A1" w:rsidRDefault="004A3107" w:rsidP="008923A1">
      <w:pPr>
        <w:spacing w:line="360" w:lineRule="auto"/>
        <w:ind w:left="1146"/>
        <w:jc w:val="both"/>
        <w:rPr>
          <w:rFonts w:ascii="Arial" w:hAnsi="Arial" w:cs="Arial"/>
          <w:lang w:val="es-ES" w:eastAsia="es-ES"/>
        </w:rPr>
      </w:pPr>
      <w:r w:rsidRPr="00432DE7">
        <w:rPr>
          <w:noProof/>
          <w:lang w:eastAsia="es-MX"/>
        </w:rPr>
        <w:drawing>
          <wp:anchor distT="0" distB="0" distL="114300" distR="114300" simplePos="0" relativeHeight="251662848" behindDoc="0" locked="0" layoutInCell="1" allowOverlap="1" wp14:anchorId="6A787C46" wp14:editId="2B44813E">
            <wp:simplePos x="0" y="0"/>
            <wp:positionH relativeFrom="column">
              <wp:posOffset>1790700</wp:posOffset>
            </wp:positionH>
            <wp:positionV relativeFrom="paragraph">
              <wp:posOffset>1170305</wp:posOffset>
            </wp:positionV>
            <wp:extent cx="3533775" cy="883444"/>
            <wp:effectExtent l="0" t="0" r="0" b="0"/>
            <wp:wrapThrough wrapText="bothSides">
              <wp:wrapPolygon edited="0">
                <wp:start x="0" y="0"/>
                <wp:lineTo x="0" y="20963"/>
                <wp:lineTo x="21425" y="20963"/>
                <wp:lineTo x="21425" y="0"/>
                <wp:lineTo x="0" y="0"/>
              </wp:wrapPolygon>
            </wp:wrapThrough>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3775" cy="883444"/>
                    </a:xfrm>
                    <a:prstGeom prst="rect">
                      <a:avLst/>
                    </a:prstGeom>
                    <a:noFill/>
                    <a:ln>
                      <a:noFill/>
                    </a:ln>
                  </pic:spPr>
                </pic:pic>
              </a:graphicData>
            </a:graphic>
            <wp14:sizeRelH relativeFrom="page">
              <wp14:pctWidth>0</wp14:pctWidth>
            </wp14:sizeRelH>
            <wp14:sizeRelV relativeFrom="page">
              <wp14:pctHeight>0</wp14:pctHeight>
            </wp14:sizeRelV>
          </wp:anchor>
        </w:drawing>
      </w:r>
      <w:r w:rsidR="00DA36DF"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w:t>
      </w:r>
      <w:r w:rsidR="00927878" w:rsidRPr="008923A1">
        <w:rPr>
          <w:rFonts w:ascii="Arial" w:hAnsi="Arial" w:cs="Arial"/>
          <w:lang w:val="es-ES" w:eastAsia="es-ES"/>
        </w:rPr>
        <w:t>es, y pensiones y jubilaciones.</w:t>
      </w:r>
    </w:p>
    <w:p w:rsidR="004A3107" w:rsidRDefault="004A3107" w:rsidP="00F53266">
      <w:pPr>
        <w:ind w:left="1146"/>
        <w:jc w:val="center"/>
        <w:rPr>
          <w:rFonts w:ascii="Cambria" w:hAnsi="Cambria"/>
          <w:sz w:val="24"/>
          <w:szCs w:val="24"/>
          <w:lang w:val="es-ES" w:eastAsia="es-ES"/>
        </w:rPr>
      </w:pPr>
    </w:p>
    <w:p w:rsidR="004A3107" w:rsidRDefault="004A3107" w:rsidP="00F53266">
      <w:pPr>
        <w:ind w:left="1146"/>
        <w:jc w:val="center"/>
        <w:rPr>
          <w:rFonts w:ascii="Cambria" w:hAnsi="Cambria"/>
          <w:sz w:val="24"/>
          <w:szCs w:val="24"/>
          <w:lang w:val="es-ES" w:eastAsia="es-ES"/>
        </w:rPr>
      </w:pPr>
    </w:p>
    <w:p w:rsidR="00E66333" w:rsidRPr="00E66333" w:rsidRDefault="00E66333" w:rsidP="00F53266">
      <w:pPr>
        <w:ind w:left="1146"/>
        <w:jc w:val="center"/>
        <w:rPr>
          <w:rFonts w:ascii="Cambria" w:hAnsi="Cambria"/>
          <w:sz w:val="24"/>
          <w:szCs w:val="24"/>
          <w:lang w:val="es-ES" w:eastAsia="es-ES"/>
        </w:rPr>
      </w:pPr>
    </w:p>
    <w:p w:rsidR="00DA36DF" w:rsidRPr="007F042B" w:rsidRDefault="00DA36DF" w:rsidP="00DA36DF">
      <w:pPr>
        <w:pStyle w:val="Prrafodelista"/>
        <w:numPr>
          <w:ilvl w:val="0"/>
          <w:numId w:val="16"/>
        </w:numPr>
        <w:spacing w:after="0" w:line="240" w:lineRule="auto"/>
        <w:contextualSpacing w:val="0"/>
        <w:jc w:val="both"/>
        <w:rPr>
          <w:rFonts w:ascii="Cambria" w:eastAsia="Cambria" w:hAnsi="Cambria" w:cs="Cambria"/>
          <w:b/>
          <w:sz w:val="24"/>
          <w:szCs w:val="24"/>
        </w:rPr>
      </w:pPr>
      <w:r w:rsidRPr="007F042B">
        <w:rPr>
          <w:rFonts w:ascii="Cambria" w:eastAsia="Cambria" w:hAnsi="Cambria" w:cs="Cambria"/>
          <w:b/>
          <w:sz w:val="24"/>
          <w:szCs w:val="24"/>
        </w:rPr>
        <w:t>Otros Ingresos y Beneficios</w:t>
      </w:r>
    </w:p>
    <w:p w:rsidR="00DA36DF" w:rsidRPr="00DA36DF" w:rsidRDefault="00DA36DF" w:rsidP="00DA36DF">
      <w:pPr>
        <w:pStyle w:val="Prrafodelista"/>
        <w:spacing w:after="0" w:line="240" w:lineRule="auto"/>
        <w:ind w:left="1146"/>
        <w:contextualSpacing w:val="0"/>
        <w:jc w:val="both"/>
        <w:rPr>
          <w:rFonts w:ascii="Cambria" w:eastAsia="Cambria" w:hAnsi="Cambria" w:cs="Cambria"/>
          <w:b/>
        </w:rPr>
      </w:pPr>
    </w:p>
    <w:p w:rsidR="00A34AAB" w:rsidRDefault="00D013F6" w:rsidP="00A34AAB">
      <w:pPr>
        <w:spacing w:line="360" w:lineRule="auto"/>
        <w:ind w:left="1146"/>
        <w:jc w:val="both"/>
        <w:rPr>
          <w:rFonts w:ascii="Arial" w:hAnsi="Arial" w:cs="Arial"/>
          <w:lang w:val="es-ES" w:eastAsia="es-ES"/>
        </w:rPr>
      </w:pPr>
      <w:r w:rsidRPr="00432DE7">
        <w:rPr>
          <w:noProof/>
          <w:lang w:eastAsia="es-MX"/>
        </w:rPr>
        <w:drawing>
          <wp:anchor distT="0" distB="0" distL="114300" distR="114300" simplePos="0" relativeHeight="251661824" behindDoc="0" locked="0" layoutInCell="1" allowOverlap="1" wp14:anchorId="5797CD68" wp14:editId="75AFEDF0">
            <wp:simplePos x="0" y="0"/>
            <wp:positionH relativeFrom="column">
              <wp:posOffset>1885950</wp:posOffset>
            </wp:positionH>
            <wp:positionV relativeFrom="paragraph">
              <wp:posOffset>1199515</wp:posOffset>
            </wp:positionV>
            <wp:extent cx="3438525" cy="561975"/>
            <wp:effectExtent l="0" t="0" r="9525" b="9525"/>
            <wp:wrapThrough wrapText="bothSides">
              <wp:wrapPolygon edited="0">
                <wp:start x="0" y="0"/>
                <wp:lineTo x="0" y="21234"/>
                <wp:lineTo x="21540" y="21234"/>
                <wp:lineTo x="21540" y="0"/>
                <wp:lineTo x="0" y="0"/>
              </wp:wrapPolygon>
            </wp:wrapThrough>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85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6DF" w:rsidRPr="008923A1">
        <w:rPr>
          <w:rFonts w:ascii="Arial" w:hAnsi="Arial" w:cs="Arial"/>
          <w:lang w:val="es-ES" w:eastAsia="es-ES"/>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rsidR="00A34AAB" w:rsidRDefault="00A34AAB" w:rsidP="00282A7A">
      <w:pPr>
        <w:pStyle w:val="Sinespaciado"/>
        <w:ind w:left="284"/>
        <w:rPr>
          <w:rFonts w:ascii="Arial" w:hAnsi="Arial" w:cs="Arial"/>
          <w:lang w:val="es-ES" w:eastAsia="es-ES"/>
        </w:rPr>
      </w:pPr>
    </w:p>
    <w:p w:rsidR="00CF6A99" w:rsidRDefault="00CF6A99" w:rsidP="00282A7A">
      <w:pPr>
        <w:pStyle w:val="Sinespaciado"/>
        <w:ind w:left="284"/>
        <w:rPr>
          <w:rFonts w:ascii="Arial" w:hAnsi="Arial" w:cs="Arial"/>
          <w:b/>
          <w:sz w:val="28"/>
          <w:szCs w:val="28"/>
        </w:rPr>
      </w:pPr>
      <w:r w:rsidRPr="00A47281">
        <w:rPr>
          <w:rFonts w:ascii="Arial" w:hAnsi="Arial" w:cs="Arial"/>
          <w:b/>
          <w:sz w:val="28"/>
          <w:szCs w:val="28"/>
        </w:rPr>
        <w:lastRenderedPageBreak/>
        <w:t>III)</w:t>
      </w:r>
      <w:r w:rsidRPr="00A47281">
        <w:rPr>
          <w:rFonts w:ascii="Arial" w:hAnsi="Arial" w:cs="Arial"/>
          <w:b/>
          <w:sz w:val="28"/>
          <w:szCs w:val="28"/>
        </w:rPr>
        <w:tab/>
        <w:t>Notas al Estado de Variación en la Hacienda Pública</w:t>
      </w:r>
    </w:p>
    <w:p w:rsidR="00A47281" w:rsidRDefault="00A47281" w:rsidP="00A47281">
      <w:pPr>
        <w:pStyle w:val="Sinespaciado"/>
        <w:rPr>
          <w:rFonts w:ascii="Arial" w:hAnsi="Arial" w:cs="Arial"/>
          <w:b/>
          <w:sz w:val="28"/>
          <w:szCs w:val="28"/>
        </w:rPr>
      </w:pPr>
    </w:p>
    <w:p w:rsidR="00A47281" w:rsidRPr="008923A1" w:rsidRDefault="00A47281" w:rsidP="008923A1">
      <w:pPr>
        <w:spacing w:line="360" w:lineRule="auto"/>
        <w:ind w:left="426"/>
        <w:jc w:val="both"/>
        <w:rPr>
          <w:rFonts w:ascii="Arial" w:eastAsia="Cambria" w:hAnsi="Arial" w:cs="Arial"/>
        </w:rPr>
      </w:pPr>
      <w:r w:rsidRPr="008923A1">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rsidR="000F068C" w:rsidRPr="008923A1" w:rsidRDefault="00A47281" w:rsidP="00E66333">
      <w:pPr>
        <w:spacing w:line="360" w:lineRule="auto"/>
        <w:ind w:left="426"/>
        <w:jc w:val="both"/>
        <w:rPr>
          <w:rFonts w:ascii="Arial" w:eastAsia="Cambria" w:hAnsi="Arial" w:cs="Arial"/>
        </w:rPr>
      </w:pPr>
      <w:r w:rsidRPr="008923A1">
        <w:rPr>
          <w:rFonts w:ascii="Arial" w:eastAsia="Cambria" w:hAnsi="Arial" w:cs="Arial"/>
        </w:rPr>
        <w:t xml:space="preserve">Las modificaciones en el rubro de Patrimonio generado ocurridas al cierre del mes de </w:t>
      </w:r>
      <w:r w:rsidR="004B2192">
        <w:rPr>
          <w:rFonts w:ascii="Arial" w:eastAsia="Cambria" w:hAnsi="Arial" w:cs="Arial"/>
        </w:rPr>
        <w:t>Septiembre</w:t>
      </w:r>
      <w:r w:rsidR="00B234E1">
        <w:rPr>
          <w:rFonts w:ascii="Arial" w:eastAsia="Cambria" w:hAnsi="Arial" w:cs="Arial"/>
        </w:rPr>
        <w:t xml:space="preserve"> </w:t>
      </w:r>
      <w:r w:rsidR="005330B5" w:rsidRPr="008923A1">
        <w:rPr>
          <w:rFonts w:ascii="Arial" w:eastAsia="Cambria" w:hAnsi="Arial" w:cs="Arial"/>
        </w:rPr>
        <w:t xml:space="preserve">de </w:t>
      </w:r>
      <w:r w:rsidRPr="008923A1">
        <w:rPr>
          <w:rFonts w:ascii="Arial" w:eastAsia="Cambria" w:hAnsi="Arial" w:cs="Arial"/>
        </w:rPr>
        <w:t xml:space="preserve"> 202</w:t>
      </w:r>
      <w:r w:rsidR="00B234E1">
        <w:rPr>
          <w:rFonts w:ascii="Arial" w:eastAsia="Cambria" w:hAnsi="Arial" w:cs="Arial"/>
        </w:rPr>
        <w:t>2</w:t>
      </w:r>
      <w:r w:rsidRPr="008923A1">
        <w:rPr>
          <w:rFonts w:ascii="Arial" w:eastAsia="Cambria" w:hAnsi="Arial" w:cs="Arial"/>
        </w:rPr>
        <w:t xml:space="preserve"> que se informa, se integran como sigue:</w:t>
      </w:r>
    </w:p>
    <w:p w:rsidR="00432DE7" w:rsidRPr="00E66333" w:rsidRDefault="00432DE7" w:rsidP="00432DE7">
      <w:pPr>
        <w:ind w:left="426"/>
        <w:jc w:val="center"/>
        <w:rPr>
          <w:rFonts w:ascii="Cambria" w:eastAsia="Cambria" w:hAnsi="Cambria" w:cs="Cambria"/>
          <w:sz w:val="24"/>
          <w:szCs w:val="24"/>
        </w:rPr>
      </w:pPr>
      <w:r w:rsidRPr="00432DE7">
        <w:rPr>
          <w:noProof/>
          <w:lang w:eastAsia="es-MX"/>
        </w:rPr>
        <w:drawing>
          <wp:inline distT="0" distB="0" distL="0" distR="0" wp14:anchorId="55EA26A0" wp14:editId="12D8B0E1">
            <wp:extent cx="5133975" cy="866884"/>
            <wp:effectExtent l="0" t="0" r="0" b="9525"/>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3975" cy="866884"/>
                    </a:xfrm>
                    <a:prstGeom prst="rect">
                      <a:avLst/>
                    </a:prstGeom>
                    <a:noFill/>
                    <a:ln>
                      <a:noFill/>
                    </a:ln>
                  </pic:spPr>
                </pic:pic>
              </a:graphicData>
            </a:graphic>
          </wp:inline>
        </w:drawing>
      </w:r>
    </w:p>
    <w:p w:rsidR="00CF6A99" w:rsidRDefault="00CF6A99" w:rsidP="00282A7A">
      <w:pPr>
        <w:pStyle w:val="Sinespaciado"/>
        <w:tabs>
          <w:tab w:val="left" w:pos="709"/>
        </w:tabs>
        <w:ind w:left="426"/>
        <w:rPr>
          <w:rFonts w:ascii="Arial" w:hAnsi="Arial" w:cs="Arial"/>
          <w:b/>
          <w:sz w:val="28"/>
          <w:szCs w:val="28"/>
        </w:rPr>
      </w:pPr>
      <w:r w:rsidRPr="00A47281">
        <w:rPr>
          <w:rFonts w:ascii="Arial" w:hAnsi="Arial" w:cs="Arial"/>
          <w:b/>
          <w:sz w:val="28"/>
          <w:szCs w:val="28"/>
        </w:rPr>
        <w:t>IV)</w:t>
      </w:r>
      <w:r w:rsidRPr="00A47281">
        <w:rPr>
          <w:rFonts w:ascii="Arial" w:hAnsi="Arial" w:cs="Arial"/>
          <w:b/>
          <w:sz w:val="28"/>
          <w:szCs w:val="28"/>
        </w:rPr>
        <w:tab/>
        <w:t xml:space="preserve">Notas al Estado de Flujos de Efectivo </w:t>
      </w:r>
    </w:p>
    <w:p w:rsidR="00BA1A50" w:rsidRDefault="00BA1A50" w:rsidP="00A47281">
      <w:pPr>
        <w:pStyle w:val="Sinespaciado"/>
        <w:rPr>
          <w:rFonts w:ascii="Arial" w:hAnsi="Arial" w:cs="Arial"/>
          <w:b/>
          <w:sz w:val="28"/>
          <w:szCs w:val="28"/>
        </w:rPr>
      </w:pPr>
    </w:p>
    <w:p w:rsidR="00BA1A50" w:rsidRPr="00BA1A50" w:rsidRDefault="00BA1A50" w:rsidP="00BA1A50">
      <w:pPr>
        <w:pStyle w:val="Prrafodelista"/>
        <w:numPr>
          <w:ilvl w:val="0"/>
          <w:numId w:val="16"/>
        </w:numPr>
        <w:rPr>
          <w:rFonts w:ascii="Cambria" w:eastAsia="Cambria" w:hAnsi="Cambria" w:cs="Cambria"/>
          <w:b/>
          <w:sz w:val="24"/>
          <w:szCs w:val="24"/>
        </w:rPr>
      </w:pPr>
      <w:r w:rsidRPr="00BA1A50">
        <w:rPr>
          <w:rFonts w:ascii="Cambria" w:eastAsia="Cambria" w:hAnsi="Cambria" w:cs="Cambria"/>
          <w:b/>
          <w:sz w:val="24"/>
          <w:szCs w:val="24"/>
        </w:rPr>
        <w:t>Efectivo y equivalentes</w:t>
      </w:r>
    </w:p>
    <w:p w:rsidR="00BA1A50" w:rsidRPr="008923A1" w:rsidRDefault="00BA1A50" w:rsidP="008923A1">
      <w:pPr>
        <w:spacing w:line="360" w:lineRule="auto"/>
        <w:ind w:left="426"/>
        <w:rPr>
          <w:rFonts w:ascii="Arial" w:eastAsia="Cambria" w:hAnsi="Arial" w:cs="Arial"/>
        </w:rPr>
      </w:pPr>
      <w:r w:rsidRPr="008923A1">
        <w:rPr>
          <w:rFonts w:ascii="Arial" w:eastAsia="Cambria" w:hAnsi="Arial" w:cs="Arial"/>
        </w:rPr>
        <w:t>El análisis de los saldos inicial y final que figuran en la última parte de Estado de Flujo de Efectivo en la cuenta de efectivo y equivalentes es como sigue:</w:t>
      </w:r>
    </w:p>
    <w:p w:rsidR="00E66333" w:rsidRDefault="00432DE7" w:rsidP="00E66333">
      <w:pPr>
        <w:ind w:left="426"/>
        <w:jc w:val="center"/>
        <w:rPr>
          <w:rFonts w:eastAsia="Cambria"/>
        </w:rPr>
      </w:pPr>
      <w:r w:rsidRPr="00432DE7">
        <w:rPr>
          <w:noProof/>
          <w:lang w:eastAsia="es-MX"/>
        </w:rPr>
        <w:drawing>
          <wp:inline distT="0" distB="0" distL="0" distR="0">
            <wp:extent cx="5000625" cy="1172278"/>
            <wp:effectExtent l="0" t="0" r="0" b="889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0625" cy="1172278"/>
                    </a:xfrm>
                    <a:prstGeom prst="rect">
                      <a:avLst/>
                    </a:prstGeom>
                    <a:noFill/>
                    <a:ln>
                      <a:noFill/>
                    </a:ln>
                  </pic:spPr>
                </pic:pic>
              </a:graphicData>
            </a:graphic>
          </wp:inline>
        </w:drawing>
      </w:r>
    </w:p>
    <w:p w:rsidR="00E66333" w:rsidRDefault="00E66333" w:rsidP="00E66333">
      <w:pPr>
        <w:ind w:left="426"/>
        <w:jc w:val="center"/>
        <w:rPr>
          <w:rFonts w:eastAsia="Cambria"/>
        </w:rPr>
      </w:pPr>
    </w:p>
    <w:p w:rsidR="003135FA" w:rsidRDefault="003135FA" w:rsidP="00E66333">
      <w:pPr>
        <w:ind w:left="426"/>
        <w:jc w:val="center"/>
        <w:rPr>
          <w:rFonts w:eastAsia="Cambria"/>
        </w:rPr>
      </w:pPr>
    </w:p>
    <w:p w:rsidR="003135FA" w:rsidRDefault="003135FA" w:rsidP="00E66333">
      <w:pPr>
        <w:ind w:left="426"/>
        <w:jc w:val="center"/>
        <w:rPr>
          <w:rFonts w:eastAsia="Cambria"/>
        </w:rPr>
      </w:pPr>
    </w:p>
    <w:p w:rsidR="003135FA" w:rsidRPr="00F6256A" w:rsidRDefault="003135FA" w:rsidP="00E66333">
      <w:pPr>
        <w:ind w:left="426"/>
        <w:jc w:val="center"/>
        <w:rPr>
          <w:rFonts w:eastAsia="Cambria"/>
        </w:rPr>
      </w:pPr>
    </w:p>
    <w:p w:rsidR="00CF6A99" w:rsidRDefault="00CF6A99" w:rsidP="00282A7A">
      <w:pPr>
        <w:pStyle w:val="Sinespaciado"/>
        <w:tabs>
          <w:tab w:val="left" w:pos="567"/>
        </w:tabs>
        <w:ind w:left="426"/>
        <w:rPr>
          <w:rFonts w:ascii="Arial" w:hAnsi="Arial" w:cs="Arial"/>
          <w:b/>
          <w:sz w:val="28"/>
          <w:szCs w:val="28"/>
        </w:rPr>
      </w:pPr>
      <w:r w:rsidRPr="003D31FD">
        <w:rPr>
          <w:rFonts w:ascii="Arial" w:hAnsi="Arial" w:cs="Arial"/>
          <w:b/>
          <w:sz w:val="28"/>
          <w:szCs w:val="28"/>
        </w:rPr>
        <w:lastRenderedPageBreak/>
        <w:t xml:space="preserve">V) </w:t>
      </w:r>
      <w:r w:rsidR="003D31FD">
        <w:rPr>
          <w:rFonts w:ascii="Arial" w:hAnsi="Arial" w:cs="Arial"/>
          <w:b/>
          <w:sz w:val="28"/>
          <w:szCs w:val="28"/>
        </w:rPr>
        <w:t xml:space="preserve">    </w:t>
      </w:r>
      <w:r w:rsidRPr="003D31FD">
        <w:rPr>
          <w:rFonts w:ascii="Arial" w:hAnsi="Arial" w:cs="Arial"/>
          <w:b/>
          <w:sz w:val="28"/>
          <w:szCs w:val="28"/>
        </w:rPr>
        <w:t>Conciliación entre los ingresos presupuestarios y contables, así como entre los egresos presupuestarios y los gastos contables</w:t>
      </w:r>
    </w:p>
    <w:p w:rsidR="003D31FD" w:rsidRPr="003D31FD" w:rsidRDefault="003D31FD" w:rsidP="003D31FD">
      <w:pPr>
        <w:pStyle w:val="Sinespaciado"/>
        <w:tabs>
          <w:tab w:val="left" w:pos="567"/>
        </w:tabs>
        <w:rPr>
          <w:rFonts w:ascii="Arial" w:hAnsi="Arial" w:cs="Arial"/>
          <w:b/>
          <w:sz w:val="28"/>
          <w:szCs w:val="28"/>
        </w:rPr>
      </w:pPr>
    </w:p>
    <w:p w:rsidR="003D31FD" w:rsidRPr="003868D4" w:rsidRDefault="003D31FD" w:rsidP="00A47281">
      <w:pPr>
        <w:pStyle w:val="Sinespaciado"/>
        <w:rPr>
          <w:rFonts w:ascii="Arial" w:hAnsi="Arial" w:cs="Arial"/>
          <w:b/>
          <w:sz w:val="28"/>
          <w:szCs w:val="28"/>
        </w:rPr>
      </w:pPr>
    </w:p>
    <w:p w:rsidR="00D44CDA" w:rsidRDefault="00D44CDA" w:rsidP="00BD444B">
      <w:pPr>
        <w:pStyle w:val="Sinespaciado"/>
        <w:jc w:val="center"/>
      </w:pPr>
      <w:r>
        <w:fldChar w:fldCharType="begin"/>
      </w:r>
      <w:r>
        <w:instrText xml:space="preserve"> LINK </w:instrText>
      </w:r>
      <w:r w:rsidR="00CA2E07">
        <w:instrText xml:space="preserve">Excel.Sheet.8 "C:\\MARICELA 2022\\4.- ESTADOS FINANC TRIMESTRALES\\HOJA DE TRABAJO NOTAS MARICELA\\4.-conciliación ing presupuestario y contable.xls" CONCILIACIÓN!F2C1:F21C3 </w:instrText>
      </w:r>
      <w:r>
        <w:instrText xml:space="preserve">\a \f 4 \h </w:instrText>
      </w:r>
      <w:r>
        <w:fldChar w:fldCharType="separate"/>
      </w:r>
    </w:p>
    <w:p w:rsidR="00F3638B" w:rsidRDefault="0018130E" w:rsidP="00BD444B">
      <w:pPr>
        <w:pStyle w:val="Sinespaciado"/>
        <w:jc w:val="center"/>
        <w:rPr>
          <w:rFonts w:ascii="Arial" w:hAnsi="Arial" w:cs="Arial"/>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66.25pt" o:ole="">
            <v:imagedata r:id="rId25" o:title=""/>
          </v:shape>
        </w:pict>
      </w:r>
      <w:r w:rsidR="00D44CDA">
        <w:rPr>
          <w:rFonts w:ascii="Arial" w:hAnsi="Arial" w:cs="Arial"/>
          <w:b/>
          <w:sz w:val="28"/>
          <w:szCs w:val="28"/>
        </w:rPr>
        <w:fldChar w:fldCharType="end"/>
      </w:r>
    </w:p>
    <w:p w:rsidR="00F3638B" w:rsidRPr="00724CA5" w:rsidRDefault="00F3638B" w:rsidP="00F3638B">
      <w:pPr>
        <w:pStyle w:val="Sinespaciado"/>
        <w:jc w:val="center"/>
        <w:rPr>
          <w:rFonts w:ascii="Arial" w:hAnsi="Arial" w:cs="Arial"/>
          <w:b/>
          <w:sz w:val="24"/>
          <w:szCs w:val="24"/>
        </w:rPr>
      </w:pPr>
    </w:p>
    <w:p w:rsidR="00724CA5" w:rsidRDefault="00724CA5" w:rsidP="00A47281">
      <w:pPr>
        <w:pStyle w:val="Sinespaciado"/>
        <w:rPr>
          <w:rFonts w:ascii="Arial" w:hAnsi="Arial" w:cs="Arial"/>
          <w:b/>
          <w:sz w:val="28"/>
          <w:szCs w:val="28"/>
        </w:rPr>
      </w:pPr>
    </w:p>
    <w:p w:rsidR="00724CA5" w:rsidRDefault="00BD54DE" w:rsidP="008923A1">
      <w:pPr>
        <w:pStyle w:val="Sinespaciado"/>
        <w:jc w:val="center"/>
        <w:rPr>
          <w:rFonts w:ascii="Arial" w:hAnsi="Arial" w:cs="Arial"/>
          <w:b/>
          <w:sz w:val="28"/>
          <w:szCs w:val="28"/>
        </w:rPr>
      </w:pPr>
      <w:r w:rsidRPr="00BD54DE">
        <w:rPr>
          <w:noProof/>
          <w:lang w:eastAsia="es-MX"/>
        </w:rPr>
        <w:lastRenderedPageBreak/>
        <w:drawing>
          <wp:inline distT="0" distB="0" distL="0" distR="0" wp14:anchorId="70617E6A" wp14:editId="673BAA82">
            <wp:extent cx="6400800" cy="6945549"/>
            <wp:effectExtent l="0" t="0" r="0" b="8255"/>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6945549"/>
                    </a:xfrm>
                    <a:prstGeom prst="rect">
                      <a:avLst/>
                    </a:prstGeom>
                    <a:noFill/>
                    <a:ln>
                      <a:noFill/>
                    </a:ln>
                  </pic:spPr>
                </pic:pic>
              </a:graphicData>
            </a:graphic>
          </wp:inline>
        </w:drawing>
      </w:r>
    </w:p>
    <w:p w:rsidR="00724CA5" w:rsidRDefault="00724CA5" w:rsidP="00A47281">
      <w:pPr>
        <w:pStyle w:val="Sinespaciado"/>
        <w:rPr>
          <w:rFonts w:ascii="Arial" w:hAnsi="Arial" w:cs="Arial"/>
          <w:b/>
          <w:sz w:val="28"/>
          <w:szCs w:val="28"/>
        </w:rPr>
      </w:pPr>
    </w:p>
    <w:p w:rsidR="003868D4" w:rsidRDefault="003868D4" w:rsidP="00A47281">
      <w:pPr>
        <w:pStyle w:val="Sinespaciado"/>
        <w:rPr>
          <w:rFonts w:ascii="Arial" w:hAnsi="Arial" w:cs="Arial"/>
          <w:b/>
          <w:sz w:val="28"/>
          <w:szCs w:val="28"/>
        </w:rPr>
      </w:pPr>
    </w:p>
    <w:p w:rsidR="005204E8" w:rsidRDefault="005204E8" w:rsidP="00724CA5">
      <w:pPr>
        <w:pStyle w:val="Texto"/>
        <w:spacing w:line="224" w:lineRule="exact"/>
        <w:ind w:firstLine="0"/>
        <w:rPr>
          <w:b/>
          <w:szCs w:val="18"/>
        </w:rPr>
      </w:pPr>
    </w:p>
    <w:p w:rsidR="006B20ED" w:rsidRDefault="006B20ED" w:rsidP="00724CA5">
      <w:pPr>
        <w:pStyle w:val="Texto"/>
        <w:spacing w:line="224" w:lineRule="exact"/>
        <w:ind w:firstLine="0"/>
        <w:rPr>
          <w:b/>
          <w:szCs w:val="18"/>
        </w:rPr>
      </w:pPr>
    </w:p>
    <w:p w:rsidR="009E3D9F" w:rsidRDefault="00DA2A3C" w:rsidP="00724CA5">
      <w:pPr>
        <w:pStyle w:val="Texto"/>
        <w:spacing w:line="224" w:lineRule="exact"/>
        <w:ind w:firstLine="0"/>
        <w:rPr>
          <w:b/>
          <w:szCs w:val="18"/>
        </w:rPr>
      </w:pPr>
      <w:r>
        <w:rPr>
          <w:b/>
          <w:noProof/>
          <w:sz w:val="24"/>
          <w:szCs w:val="24"/>
          <w:lang w:val="es-MX" w:eastAsia="es-MX"/>
        </w:rPr>
        <mc:AlternateContent>
          <mc:Choice Requires="wps">
            <w:drawing>
              <wp:anchor distT="0" distB="0" distL="114300" distR="114300" simplePos="0" relativeHeight="251656704" behindDoc="0" locked="0" layoutInCell="1" allowOverlap="1" wp14:anchorId="761CB901" wp14:editId="46F2654E">
                <wp:simplePos x="0" y="0"/>
                <wp:positionH relativeFrom="column">
                  <wp:posOffset>418034</wp:posOffset>
                </wp:positionH>
                <wp:positionV relativeFrom="paragraph">
                  <wp:posOffset>-96161</wp:posOffset>
                </wp:positionV>
                <wp:extent cx="5200650" cy="390525"/>
                <wp:effectExtent l="0" t="0" r="19050" b="28575"/>
                <wp:wrapThrough wrapText="bothSides">
                  <wp:wrapPolygon edited="0">
                    <wp:start x="0" y="0"/>
                    <wp:lineTo x="0" y="22127"/>
                    <wp:lineTo x="21600" y="22127"/>
                    <wp:lineTo x="21600" y="0"/>
                    <wp:lineTo x="0" y="0"/>
                  </wp:wrapPolygon>
                </wp:wrapThrough>
                <wp:docPr id="5" name="5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1CB901" id="5 Rectángulo redondeado" o:spid="_x0000_s1030" style="position:absolute;left:0;text-align:left;margin-left:32.9pt;margin-top:-7.55pt;width:409.5pt;height:30.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" fillcolor="#cbd2dc [1302]" strokecolor="#224e76 [1604]" strokeweight="2pt">
                <v:textbox>
                  <w:txbxContent>
                    <w:p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v:textbox>
                <w10:wrap type="through"/>
              </v:roundrect>
            </w:pict>
          </mc:Fallback>
        </mc:AlternateContent>
      </w:r>
    </w:p>
    <w:p w:rsidR="00724CA5" w:rsidRDefault="00724CA5" w:rsidP="00724CA5">
      <w:pPr>
        <w:pStyle w:val="Texto"/>
        <w:spacing w:line="224" w:lineRule="exact"/>
        <w:ind w:firstLine="0"/>
        <w:rPr>
          <w:b/>
          <w:szCs w:val="18"/>
        </w:rPr>
      </w:pPr>
    </w:p>
    <w:p w:rsidR="00910EA0" w:rsidRPr="00910EA0" w:rsidRDefault="00724CA5" w:rsidP="00910EA0">
      <w:pPr>
        <w:keepNext/>
        <w:ind w:left="426"/>
        <w:rPr>
          <w:rFonts w:ascii="Cambria" w:eastAsia="Cambria" w:hAnsi="Cambria" w:cs="Cambria"/>
          <w:b/>
          <w:sz w:val="24"/>
          <w:szCs w:val="24"/>
        </w:rPr>
      </w:pPr>
      <w:r w:rsidRPr="00A002F3">
        <w:rPr>
          <w:rFonts w:ascii="Cambria" w:eastAsia="Cambria" w:hAnsi="Cambria" w:cs="Cambria"/>
          <w:b/>
          <w:sz w:val="24"/>
          <w:szCs w:val="24"/>
        </w:rPr>
        <w:t>Cuentas de Orden Contables</w:t>
      </w:r>
    </w:p>
    <w:p w:rsidR="00910EA0" w:rsidRPr="005204E8" w:rsidRDefault="00EF0051" w:rsidP="005204E8">
      <w:pPr>
        <w:keepNext/>
        <w:spacing w:line="360" w:lineRule="auto"/>
        <w:ind w:left="426"/>
        <w:jc w:val="both"/>
        <w:rPr>
          <w:rFonts w:ascii="Arial" w:eastAsia="Cambria" w:hAnsi="Arial" w:cs="Arial"/>
        </w:rPr>
      </w:pPr>
      <w:r>
        <w:rPr>
          <w:b/>
          <w:noProof/>
          <w:sz w:val="24"/>
          <w:szCs w:val="24"/>
          <w:lang w:eastAsia="es-MX"/>
        </w:rPr>
        <mc:AlternateContent>
          <mc:Choice Requires="wps">
            <w:drawing>
              <wp:anchor distT="0" distB="0" distL="114300" distR="114300" simplePos="0" relativeHeight="251658752" behindDoc="0" locked="0" layoutInCell="1" allowOverlap="1" wp14:anchorId="2462AEA2" wp14:editId="78D2326C">
                <wp:simplePos x="0" y="0"/>
                <wp:positionH relativeFrom="column">
                  <wp:posOffset>512721</wp:posOffset>
                </wp:positionH>
                <wp:positionV relativeFrom="paragraph">
                  <wp:posOffset>1290931</wp:posOffset>
                </wp:positionV>
                <wp:extent cx="5200650" cy="400050"/>
                <wp:effectExtent l="0" t="0" r="19050" b="19050"/>
                <wp:wrapThrough wrapText="bothSides">
                  <wp:wrapPolygon edited="0">
                    <wp:start x="0" y="0"/>
                    <wp:lineTo x="0" y="21600"/>
                    <wp:lineTo x="21600" y="21600"/>
                    <wp:lineTo x="21600" y="0"/>
                    <wp:lineTo x="0" y="0"/>
                  </wp:wrapPolygon>
                </wp:wrapThrough>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62AEA2" id="6 Rectángulo redondeado" o:spid="_x0000_s1031" style="position:absolute;left:0;text-align:left;margin-left:40.35pt;margin-top:101.65pt;width:409.5pt;height:3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" fillcolor="#cbd2dc [1302]" strokecolor="#224e76 [1604]" strokeweight="2pt">
                <v:textbox>
                  <w:txbxContent>
                    <w:p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v:textbox>
                <w10:wrap type="through"/>
              </v:roundrect>
            </w:pict>
          </mc:Fallback>
        </mc:AlternateContent>
      </w:r>
      <w:r w:rsidR="00724CA5" w:rsidRPr="008923A1">
        <w:rPr>
          <w:rFonts w:ascii="Arial" w:eastAsia="Cambria" w:hAnsi="Arial" w:cs="Arial"/>
        </w:rPr>
        <w:t>En el mes de Octubre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w:t>
      </w:r>
      <w:r w:rsidR="00DA2A3C" w:rsidRPr="008923A1">
        <w:rPr>
          <w:rFonts w:ascii="Arial" w:eastAsia="Cambria" w:hAnsi="Arial" w:cs="Arial"/>
        </w:rPr>
        <w:t>cas históricas son invaluables.</w:t>
      </w:r>
    </w:p>
    <w:p w:rsidR="00724CA5" w:rsidRDefault="00724CA5" w:rsidP="00724CA5">
      <w:pPr>
        <w:pStyle w:val="Texto"/>
        <w:spacing w:line="224" w:lineRule="exact"/>
        <w:ind w:firstLine="0"/>
        <w:rPr>
          <w:b/>
          <w:szCs w:val="18"/>
          <w:lang w:val="es-MX"/>
        </w:rPr>
      </w:pPr>
    </w:p>
    <w:p w:rsidR="00724CA5" w:rsidRPr="00724CA5" w:rsidRDefault="00724CA5" w:rsidP="00724CA5">
      <w:pPr>
        <w:pStyle w:val="Texto"/>
        <w:spacing w:line="224" w:lineRule="exact"/>
        <w:ind w:firstLine="0"/>
        <w:rPr>
          <w:b/>
          <w:szCs w:val="18"/>
          <w:lang w:val="es-MX"/>
        </w:rPr>
      </w:pPr>
    </w:p>
    <w:p w:rsidR="009E3D9F" w:rsidRDefault="009E3D9F" w:rsidP="00EF0051">
      <w:pPr>
        <w:pStyle w:val="Texto"/>
        <w:tabs>
          <w:tab w:val="left" w:pos="567"/>
          <w:tab w:val="left" w:pos="802"/>
        </w:tabs>
        <w:ind w:firstLine="0"/>
        <w:jc w:val="left"/>
        <w:rPr>
          <w:b/>
          <w:szCs w:val="18"/>
          <w:lang w:val="es-MX"/>
        </w:rPr>
      </w:pPr>
    </w:p>
    <w:p w:rsidR="00724CA5" w:rsidRPr="00A002F3" w:rsidRDefault="00724CA5" w:rsidP="00724CA5">
      <w:pPr>
        <w:numPr>
          <w:ilvl w:val="0"/>
          <w:numId w:val="17"/>
        </w:numPr>
        <w:spacing w:after="120" w:line="276" w:lineRule="auto"/>
        <w:ind w:left="426" w:firstLine="0"/>
        <w:jc w:val="both"/>
        <w:rPr>
          <w:rFonts w:ascii="Cambria" w:eastAsia="Cambria" w:hAnsi="Cambria" w:cs="Cambria"/>
          <w:b/>
          <w:sz w:val="24"/>
          <w:szCs w:val="24"/>
        </w:rPr>
      </w:pPr>
      <w:r w:rsidRPr="00A002F3">
        <w:rPr>
          <w:rFonts w:ascii="Cambria" w:eastAsia="Cambria" w:hAnsi="Cambria" w:cs="Cambria"/>
          <w:b/>
          <w:sz w:val="24"/>
          <w:szCs w:val="24"/>
        </w:rPr>
        <w:t xml:space="preserve">Introducción </w:t>
      </w:r>
    </w:p>
    <w:p w:rsidR="00DA2A3C"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Los Estados Financieros del Municipio del Ayuntamiento de Mérida Yucatán, proveen de información financiera a los principales usuarios de la misma, a</w:t>
      </w:r>
      <w:r w:rsidR="00DA2A3C" w:rsidRPr="008923A1">
        <w:rPr>
          <w:rFonts w:ascii="Arial" w:eastAsia="Cambria" w:hAnsi="Arial" w:cs="Arial"/>
        </w:rPr>
        <w:t xml:space="preserve">l Congreso y a los ciudadanos. </w:t>
      </w:r>
    </w:p>
    <w:p w:rsidR="00724CA5"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910EA0"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w:t>
      </w:r>
      <w:r w:rsidR="00DA2A3C" w:rsidRPr="008923A1">
        <w:rPr>
          <w:rFonts w:ascii="Arial" w:eastAsia="Cambria" w:hAnsi="Arial" w:cs="Arial"/>
        </w:rPr>
        <w:t>siones en periodos posteriores.</w:t>
      </w:r>
    </w:p>
    <w:p w:rsidR="00DA2A3C" w:rsidRDefault="00724CA5"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910EA0">
        <w:rPr>
          <w:rFonts w:ascii="Cambria" w:eastAsia="Cambria" w:hAnsi="Cambria" w:cs="Calibri"/>
          <w:b/>
          <w:sz w:val="24"/>
          <w:szCs w:val="24"/>
        </w:rPr>
        <w:t>Panorama Económico y Financiero</w:t>
      </w:r>
    </w:p>
    <w:p w:rsidR="002B6D2A" w:rsidRDefault="002B6D2A" w:rsidP="002B6D2A">
      <w:pPr>
        <w:pStyle w:val="Prrafodelista"/>
        <w:spacing w:after="0" w:line="240" w:lineRule="auto"/>
        <w:ind w:left="426"/>
        <w:contextualSpacing w:val="0"/>
        <w:jc w:val="both"/>
        <w:rPr>
          <w:rFonts w:ascii="Cambria" w:eastAsia="Cambria" w:hAnsi="Cambria" w:cs="Calibri"/>
          <w:b/>
          <w:sz w:val="24"/>
          <w:szCs w:val="24"/>
        </w:rPr>
      </w:pPr>
    </w:p>
    <w:p w:rsidR="00F64043" w:rsidRDefault="002B6D2A" w:rsidP="008923A1">
      <w:pPr>
        <w:pStyle w:val="Prrafodelista"/>
        <w:spacing w:after="0" w:line="360" w:lineRule="auto"/>
        <w:ind w:left="426"/>
        <w:contextualSpacing w:val="0"/>
        <w:jc w:val="both"/>
        <w:rPr>
          <w:rFonts w:ascii="Arial" w:eastAsia="Cambria" w:hAnsi="Arial" w:cs="Arial"/>
        </w:rPr>
      </w:pPr>
      <w:r w:rsidRPr="008923A1">
        <w:rPr>
          <w:rFonts w:ascii="Arial" w:eastAsia="Cambria" w:hAnsi="Arial" w:cs="Arial"/>
        </w:rPr>
        <w:t>El presupuesto de Egresos, el Programa Operativo Anual (POA) y el tabulador de remuneraciones para el ejercicio 202</w:t>
      </w:r>
      <w:r w:rsidR="00B234E1">
        <w:rPr>
          <w:rFonts w:ascii="Arial" w:eastAsia="Cambria" w:hAnsi="Arial" w:cs="Arial"/>
        </w:rPr>
        <w:t>2, fue aprobado el 15</w:t>
      </w:r>
      <w:r w:rsidRPr="008923A1">
        <w:rPr>
          <w:rFonts w:ascii="Arial" w:eastAsia="Cambria" w:hAnsi="Arial" w:cs="Arial"/>
        </w:rPr>
        <w:t xml:space="preserve"> de Diciembre de 202</w:t>
      </w:r>
      <w:r w:rsidR="00B234E1">
        <w:rPr>
          <w:rFonts w:ascii="Arial" w:eastAsia="Cambria" w:hAnsi="Arial" w:cs="Arial"/>
        </w:rPr>
        <w:t>1</w:t>
      </w:r>
      <w:r w:rsidRPr="008923A1">
        <w:rPr>
          <w:rFonts w:ascii="Arial" w:eastAsia="Cambria" w:hAnsi="Arial" w:cs="Arial"/>
        </w:rPr>
        <w:t xml:space="preserve"> por el Cabildo y publicado</w:t>
      </w:r>
      <w:r w:rsidR="00B234E1">
        <w:rPr>
          <w:rFonts w:ascii="Arial" w:eastAsia="Cambria" w:hAnsi="Arial" w:cs="Arial"/>
        </w:rPr>
        <w:t xml:space="preserve"> en la Gaceta Municipal No. 1784</w:t>
      </w:r>
      <w:r w:rsidRPr="008923A1">
        <w:rPr>
          <w:rFonts w:ascii="Arial" w:eastAsia="Cambria" w:hAnsi="Arial" w:cs="Arial"/>
        </w:rPr>
        <w:t xml:space="preserve"> el 30 de diciembre de 202</w:t>
      </w:r>
      <w:r w:rsidR="00E12EB7">
        <w:rPr>
          <w:rFonts w:ascii="Arial" w:eastAsia="Cambria" w:hAnsi="Arial" w:cs="Arial"/>
        </w:rPr>
        <w:t>1</w:t>
      </w:r>
      <w:r w:rsidRPr="008923A1">
        <w:rPr>
          <w:rFonts w:ascii="Arial" w:eastAsia="Cambria" w:hAnsi="Arial" w:cs="Arial"/>
        </w:rPr>
        <w:t xml:space="preserve">, con fundamento en el Artículo 144 de la Ley de Gobierno de los Municipios del Estado de Yucatán, Artículos 187 y 189 de la Ley del Presupuesto y Contabilidad Gubernamental del Estado </w:t>
      </w:r>
      <w:r w:rsidR="005D768E" w:rsidRPr="008923A1">
        <w:rPr>
          <w:rFonts w:ascii="Arial" w:eastAsia="Cambria" w:hAnsi="Arial" w:cs="Arial"/>
        </w:rPr>
        <w:t>de Yucatán.</w:t>
      </w:r>
    </w:p>
    <w:p w:rsidR="00DA2A3C" w:rsidRPr="008923A1" w:rsidRDefault="00DA2A3C" w:rsidP="008923A1">
      <w:pPr>
        <w:pStyle w:val="Prrafodelista"/>
        <w:spacing w:after="0" w:line="360" w:lineRule="auto"/>
        <w:ind w:left="426"/>
        <w:contextualSpacing w:val="0"/>
        <w:jc w:val="both"/>
        <w:rPr>
          <w:rFonts w:ascii="Arial" w:eastAsia="Cambria" w:hAnsi="Arial" w:cs="Arial"/>
          <w:b/>
        </w:rPr>
      </w:pPr>
    </w:p>
    <w:p w:rsidR="00B8624A" w:rsidRDefault="00DA2A3C" w:rsidP="00B8624A">
      <w:pPr>
        <w:ind w:left="426"/>
        <w:jc w:val="both"/>
        <w:rPr>
          <w:rFonts w:ascii="Cambria" w:eastAsia="Cambria" w:hAnsi="Cambria" w:cs="Calibri"/>
          <w:b/>
          <w:sz w:val="24"/>
          <w:szCs w:val="24"/>
        </w:rPr>
      </w:pPr>
      <w:r w:rsidRPr="006223B9">
        <w:rPr>
          <w:rFonts w:ascii="Cambria" w:eastAsia="Cambria" w:hAnsi="Cambria" w:cs="Calibri"/>
          <w:b/>
          <w:sz w:val="24"/>
          <w:szCs w:val="24"/>
        </w:rPr>
        <w:lastRenderedPageBreak/>
        <w:t>Presupuesto de Egresos Anual Aprobado:</w:t>
      </w:r>
    </w:p>
    <w:p w:rsidR="00B8624A" w:rsidRPr="00B8624A" w:rsidRDefault="00B8624A" w:rsidP="00B8624A">
      <w:pPr>
        <w:autoSpaceDE w:val="0"/>
        <w:autoSpaceDN w:val="0"/>
        <w:adjustRightInd w:val="0"/>
        <w:spacing w:after="0" w:line="360" w:lineRule="auto"/>
        <w:ind w:left="426"/>
        <w:jc w:val="both"/>
        <w:rPr>
          <w:rFonts w:ascii="Arial" w:eastAsia="Cambria" w:hAnsi="Arial" w:cs="Arial"/>
        </w:rPr>
      </w:pPr>
      <w:r>
        <w:rPr>
          <w:rFonts w:ascii="Arial" w:eastAsia="Cambria" w:hAnsi="Arial" w:cs="Arial"/>
        </w:rPr>
        <w:t>E</w:t>
      </w:r>
      <w:r w:rsidRPr="00B8624A">
        <w:rPr>
          <w:rFonts w:ascii="Arial" w:eastAsia="Cambria" w:hAnsi="Arial" w:cs="Arial"/>
        </w:rPr>
        <w:t>l Presupuesto de Egresos del Ayuntamiento</w:t>
      </w:r>
      <w:r>
        <w:rPr>
          <w:rFonts w:ascii="Arial" w:eastAsia="Cambria" w:hAnsi="Arial" w:cs="Arial"/>
        </w:rPr>
        <w:t xml:space="preserve"> </w:t>
      </w:r>
      <w:r w:rsidRPr="00B8624A">
        <w:rPr>
          <w:rFonts w:ascii="Arial" w:eastAsia="Cambria" w:hAnsi="Arial" w:cs="Arial"/>
        </w:rPr>
        <w:t>Constitucional del Municipio de Mérida, que regirá del uno de enero a</w:t>
      </w:r>
      <w:r>
        <w:rPr>
          <w:rFonts w:ascii="Arial" w:eastAsia="Cambria" w:hAnsi="Arial" w:cs="Arial"/>
        </w:rPr>
        <w:t xml:space="preserve">l treinta y uno de diciembre de </w:t>
      </w:r>
      <w:r w:rsidRPr="00B8624A">
        <w:rPr>
          <w:rFonts w:ascii="Arial" w:eastAsia="Cambria" w:hAnsi="Arial" w:cs="Arial"/>
        </w:rPr>
        <w:t>dos mil veintidós, que importa la cantidad de $4,297,811,917.00 (Son: Cuatro</w:t>
      </w:r>
      <w:r>
        <w:rPr>
          <w:rFonts w:ascii="Arial" w:eastAsia="Cambria" w:hAnsi="Arial" w:cs="Arial"/>
        </w:rPr>
        <w:t xml:space="preserve"> mil doscientos noventa </w:t>
      </w:r>
      <w:r w:rsidRPr="00B8624A">
        <w:rPr>
          <w:rFonts w:ascii="Arial" w:eastAsia="Cambria" w:hAnsi="Arial" w:cs="Arial"/>
        </w:rPr>
        <w:t xml:space="preserve">y siete millones ochocientos once mil novecientos diecisiete </w:t>
      </w:r>
      <w:r>
        <w:rPr>
          <w:rFonts w:ascii="Arial" w:eastAsia="Cambria" w:hAnsi="Arial" w:cs="Arial"/>
        </w:rPr>
        <w:t xml:space="preserve">pesos 00/100 moneda nacional) y </w:t>
      </w:r>
      <w:r w:rsidRPr="00B8624A">
        <w:rPr>
          <w:rFonts w:ascii="Arial" w:eastAsia="Cambria" w:hAnsi="Arial" w:cs="Arial"/>
        </w:rPr>
        <w:t>autoriza las erogaciones previstas como capítulos presupue</w:t>
      </w:r>
      <w:r>
        <w:rPr>
          <w:rFonts w:ascii="Arial" w:eastAsia="Cambria" w:hAnsi="Arial" w:cs="Arial"/>
        </w:rPr>
        <w:t xml:space="preserve">stales programadas por el mismo </w:t>
      </w:r>
      <w:r w:rsidRPr="00B8624A">
        <w:rPr>
          <w:rFonts w:ascii="Arial" w:eastAsia="Cambria" w:hAnsi="Arial" w:cs="Arial"/>
        </w:rPr>
        <w:t>período, de conformidad a la distribución siguiente:</w:t>
      </w:r>
    </w:p>
    <w:p w:rsidR="005D768E" w:rsidRDefault="008923A1" w:rsidP="00B8624A">
      <w:pPr>
        <w:ind w:left="426"/>
        <w:jc w:val="center"/>
        <w:rPr>
          <w:rFonts w:ascii="Cambria" w:eastAsia="Cambria" w:hAnsi="Cambria" w:cs="Calibri"/>
          <w:b/>
        </w:rPr>
      </w:pPr>
      <w:r w:rsidRPr="008923A1">
        <w:rPr>
          <w:noProof/>
          <w:lang w:eastAsia="es-MX"/>
        </w:rPr>
        <w:drawing>
          <wp:inline distT="0" distB="0" distL="0" distR="0" wp14:anchorId="312E507A" wp14:editId="58D227F8">
            <wp:extent cx="5919944" cy="2360428"/>
            <wp:effectExtent l="0" t="0" r="508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32824" cy="2365564"/>
                    </a:xfrm>
                    <a:prstGeom prst="rect">
                      <a:avLst/>
                    </a:prstGeom>
                  </pic:spPr>
                </pic:pic>
              </a:graphicData>
            </a:graphic>
          </wp:inline>
        </w:drawing>
      </w:r>
    </w:p>
    <w:p w:rsidR="00DA2A3C" w:rsidRPr="0004539B" w:rsidRDefault="00DA2A3C"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04539B">
        <w:rPr>
          <w:rFonts w:ascii="Cambria" w:eastAsia="Cambria" w:hAnsi="Cambria" w:cs="Calibri"/>
          <w:b/>
          <w:sz w:val="24"/>
          <w:szCs w:val="24"/>
        </w:rPr>
        <w:t xml:space="preserve">Autorización e Historia </w:t>
      </w:r>
    </w:p>
    <w:p w:rsidR="00DA2A3C" w:rsidRPr="00A002F3" w:rsidRDefault="00DA2A3C" w:rsidP="00DA2A3C">
      <w:pPr>
        <w:pStyle w:val="Prrafodelista"/>
        <w:spacing w:after="0" w:line="240" w:lineRule="auto"/>
        <w:ind w:left="426"/>
        <w:contextualSpacing w:val="0"/>
        <w:jc w:val="both"/>
        <w:rPr>
          <w:rFonts w:ascii="Cambria" w:eastAsia="Cambria" w:hAnsi="Cambria" w:cs="Calibri"/>
          <w:b/>
        </w:rPr>
      </w:pP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w:t>
      </w:r>
    </w:p>
    <w:p w:rsidR="00B8624A"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Ente como Municipio del Estado de Yucatán goza de autonomía plena para gobernar y administrar los asuntos propios, en los términos de la Constitución Política de los Estados Unidos Mexicanos y la particular del Estado.</w:t>
      </w:r>
    </w:p>
    <w:p w:rsidR="00724CA5" w:rsidRPr="00A002F3" w:rsidRDefault="00724CA5" w:rsidP="00724CA5">
      <w:pPr>
        <w:ind w:left="426"/>
        <w:jc w:val="both"/>
        <w:rPr>
          <w:rFonts w:ascii="Cambria" w:hAnsi="Cambria"/>
        </w:rPr>
      </w:pPr>
      <w:r w:rsidRPr="00A002F3">
        <w:rPr>
          <w:rFonts w:ascii="Cambria" w:eastAsia="Cambria" w:hAnsi="Cambria" w:cs="Cambria"/>
          <w:b/>
          <w:sz w:val="24"/>
          <w:szCs w:val="24"/>
        </w:rPr>
        <w:t>Marco regulatorio</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Los principales ordenamientos que le aplican al Ente se presentan a continuación agrupados de manera funcional para su interpretación como sigue:</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lastRenderedPageBreak/>
        <w:t>Existencia:</w:t>
      </w:r>
      <w:r w:rsidRPr="00B8624A">
        <w:rPr>
          <w:rFonts w:ascii="Arial" w:eastAsia="Cambria" w:hAnsi="Arial" w:cs="Arial"/>
        </w:rPr>
        <w:t xml:space="preserve"> Constitución Política de los Estados Unidos Mexicanos y Constitución Política del Estado de Yucatán.</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t>Finanzas:</w:t>
      </w:r>
      <w:r w:rsidRPr="00B8624A">
        <w:rPr>
          <w:rFonts w:ascii="Arial" w:eastAsia="Cambria" w:hAnsi="Arial" w:cs="Arial"/>
        </w:rPr>
        <w:t xml:space="preserve"> Ley General de Hacienda del Estado de Yucatán, Ley de Hacienda para los Municipios del Estado de Yucatán, Ley de Ingresos y Presupuesto de Egresos del Estado de Yucatán, Ley de Deuda Pública del Estado de Yucatán, Ley de Coordinación Fiscal del Estado de Yucatán, Código Fiscal del Estado de Yucatán, Reglamento de Presupuesto y Ejercicio del Gasto Público del Municipio de Mérida, Ley de Ingresos y Ley de Hacienda del Municipio de Mérida Yucatán.</w:t>
      </w:r>
    </w:p>
    <w:p w:rsidR="00B8624A" w:rsidRPr="005204E8"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t>Administración:</w:t>
      </w:r>
      <w:r w:rsidRPr="00B8624A">
        <w:rPr>
          <w:rFonts w:ascii="Arial" w:eastAsia="Cambria" w:hAnsi="Arial" w:cs="Arial"/>
        </w:rPr>
        <w:t xml:space="preserve"> Ley de Gobierno de los Municipios del Estado de Yucatán, Reglamento de Adquisiciones, Arrendamientos de Bienes y Servicios del Ayuntamiento de Mérida.</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 </w:t>
      </w:r>
      <w:r w:rsidRPr="00B8624A">
        <w:rPr>
          <w:rFonts w:ascii="Arial" w:eastAsia="Cambria" w:hAnsi="Arial" w:cs="Arial"/>
          <w:b/>
          <w:u w:val="single"/>
        </w:rPr>
        <w:t>Contabilidad:</w:t>
      </w:r>
      <w:r w:rsidRPr="00B8624A">
        <w:rPr>
          <w:rFonts w:ascii="Arial" w:eastAsia="Cambria" w:hAnsi="Arial" w:cs="Arial"/>
        </w:rPr>
        <w:t xml:space="preserve"> Ley General de Contabilidad Gubernamental, Ley del Presupuesto y Contabilidad Gubernamental del Estado de Yucatán, Decreto que establece la organización y funcionamiento del consejo de armonización contable del Estado de Yucatán, Ley de Fiscalización de la cuenta públ</w:t>
      </w:r>
      <w:r w:rsidR="00D03DAB" w:rsidRPr="00B8624A">
        <w:rPr>
          <w:rFonts w:ascii="Arial" w:eastAsia="Cambria" w:hAnsi="Arial" w:cs="Arial"/>
        </w:rPr>
        <w:t xml:space="preserve">ica del Estado de Yucatán y su </w:t>
      </w:r>
      <w:r w:rsidR="00A51A35" w:rsidRPr="00B8624A">
        <w:rPr>
          <w:rFonts w:ascii="Arial" w:eastAsia="Cambria" w:hAnsi="Arial" w:cs="Arial"/>
        </w:rPr>
        <w:t>Reglamento, Ley</w:t>
      </w:r>
      <w:r w:rsidR="00D03DAB" w:rsidRPr="00B8624A">
        <w:rPr>
          <w:rFonts w:ascii="Arial" w:eastAsia="Cambria" w:hAnsi="Arial" w:cs="Arial"/>
        </w:rPr>
        <w:t xml:space="preserve"> de Impuesto al Valor Agregado</w:t>
      </w:r>
      <w:r w:rsidRPr="00B8624A">
        <w:rPr>
          <w:rFonts w:ascii="Arial" w:eastAsia="Cambria" w:hAnsi="Arial" w:cs="Arial"/>
        </w:rPr>
        <w:t xml:space="preserve"> </w:t>
      </w:r>
      <w:r w:rsidR="00CF40D3" w:rsidRPr="00B8624A">
        <w:rPr>
          <w:rFonts w:ascii="Arial" w:eastAsia="Cambria" w:hAnsi="Arial" w:cs="Arial"/>
        </w:rPr>
        <w:t>y La</w:t>
      </w:r>
      <w:r w:rsidRPr="00B8624A">
        <w:rPr>
          <w:rFonts w:ascii="Arial" w:eastAsia="Cambria" w:hAnsi="Arial" w:cs="Arial"/>
        </w:rPr>
        <w:t xml:space="preserve"> ley Impuesto Sobre la Renta.</w:t>
      </w:r>
    </w:p>
    <w:p w:rsidR="00B8624A" w:rsidRPr="00B8624A" w:rsidRDefault="00724CA5" w:rsidP="005204E8">
      <w:pPr>
        <w:spacing w:line="360" w:lineRule="auto"/>
        <w:ind w:left="426"/>
        <w:jc w:val="both"/>
        <w:rPr>
          <w:rFonts w:ascii="Arial" w:hAnsi="Arial" w:cs="Arial"/>
        </w:rPr>
      </w:pPr>
      <w:r w:rsidRPr="00B8624A">
        <w:rPr>
          <w:rFonts w:ascii="Arial" w:eastAsia="Cambria" w:hAnsi="Arial" w:cs="Arial"/>
          <w:b/>
          <w:u w:val="single"/>
        </w:rPr>
        <w:t xml:space="preserve">Laboral: </w:t>
      </w:r>
      <w:r w:rsidRPr="00B8624A">
        <w:rPr>
          <w:rFonts w:ascii="Arial" w:eastAsia="Cambria" w:hAnsi="Arial" w:cs="Arial"/>
        </w:rPr>
        <w:t>Ley de Seguridad Social para los Servidores Públicos del Estado de Yucatán, de sus Municipios y de los Organismos Públicos Coordinados y Descentralizados de carácter social, Ley de los trabajadores al servicio del Estado y Municipios de Yucatán, y el fideicomiso</w:t>
      </w:r>
      <w:r w:rsidRPr="00B8624A">
        <w:rPr>
          <w:rFonts w:ascii="Arial" w:hAnsi="Arial" w:cs="Arial"/>
        </w:rPr>
        <w:t xml:space="preserve"> (SIRJUM) Sistema Individual para el Retiro y Jubilación Municipal.</w:t>
      </w:r>
    </w:p>
    <w:p w:rsidR="00A4680C" w:rsidRPr="00B8624A" w:rsidRDefault="00724CA5" w:rsidP="00EF0051">
      <w:pPr>
        <w:spacing w:line="360" w:lineRule="auto"/>
        <w:ind w:left="426"/>
        <w:jc w:val="both"/>
        <w:rPr>
          <w:rFonts w:ascii="Arial" w:eastAsia="Cambria" w:hAnsi="Arial" w:cs="Arial"/>
        </w:rPr>
      </w:pPr>
      <w:r w:rsidRPr="00B8624A">
        <w:rPr>
          <w:rFonts w:ascii="Arial" w:eastAsia="Cambria" w:hAnsi="Arial" w:cs="Arial"/>
          <w:b/>
          <w:u w:val="single"/>
        </w:rPr>
        <w:t>Rendición de cuentas:</w:t>
      </w:r>
      <w:r w:rsidRPr="00B8624A">
        <w:rPr>
          <w:rFonts w:ascii="Arial" w:eastAsia="Cambria" w:hAnsi="Arial" w:cs="Arial"/>
        </w:rPr>
        <w:t xml:space="preserve"> Ley General de Acceso a la Información Pública, Ley de Acceso a la Información Pública para el Estado y los Municipios de Yucatán, Reglamento de Acceso a la Información Públi</w:t>
      </w:r>
      <w:r w:rsidR="00DA2A3C" w:rsidRPr="00B8624A">
        <w:rPr>
          <w:rFonts w:ascii="Arial" w:eastAsia="Cambria" w:hAnsi="Arial" w:cs="Arial"/>
        </w:rPr>
        <w:t>ca para el Municipio de Mérida.</w:t>
      </w:r>
    </w:p>
    <w:p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t xml:space="preserve">Organización y Objeto Social. </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4.1 Funciones originarias.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 xml:space="preserve">Las atribuciones y funciones que la Constitución Política de los Estados Unidos Mexicanos y la particular del Estado, le confieren al Ayuntamiento, las ejerce originariamente el Cabildo, como órgano colegiado de decisión, electo en forma directa mediante el voto popular, conforme a lo </w:t>
      </w:r>
      <w:r w:rsidRPr="00B8624A">
        <w:rPr>
          <w:rFonts w:ascii="Arial" w:eastAsia="Cambria" w:hAnsi="Arial" w:cs="Arial"/>
        </w:rPr>
        <w:lastRenderedPageBreak/>
        <w:t>dispuesto por la legislación electoral del Estado e integrado por 19 Regidores, dentro de ellos, uno electo Presidente Municipal y otro Síndico.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4.2 Funciones y servicios públicos.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w:t>
      </w:r>
      <w:r w:rsidR="00AE0821">
        <w:rPr>
          <w:rFonts w:ascii="Arial" w:eastAsia="Cambria" w:hAnsi="Arial" w:cs="Arial"/>
        </w:rPr>
        <w:t>e</w:t>
      </w:r>
      <w:r w:rsidRPr="00B8624A">
        <w:rPr>
          <w:rFonts w:ascii="Arial" w:eastAsia="Cambria" w:hAnsi="Arial" w:cs="Arial"/>
        </w:rPr>
        <w:t>nte tiene a su cargo de manera exclusiva y en el ámbito de sus respectivas jurisdicciones, las siguientes funciones y servicios públicos: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 Agua Potable, drenaje, alcantarillado, tratamiento y disposición de aguas residuales;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Alumbrado público;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III.- Limpia, recolección, traslado, tratamiento y disposición final de residuos;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IV.- Mercados y Centrales de Abasto;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 Panteones;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 Rastro;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 Calles, parques y jardines y su equipamiento;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VIII.- Seguridad pública, policía preventiva municipal y tránsito, que estarán al mando del Presidente Municipal, en los términos del Reglamento correspondiente;</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IX.- El Catastro, y</w:t>
      </w:r>
    </w:p>
    <w:p w:rsidR="00B8624A" w:rsidRPr="00B8624A" w:rsidRDefault="00724CA5" w:rsidP="004342DA">
      <w:pPr>
        <w:spacing w:line="360" w:lineRule="auto"/>
        <w:ind w:left="426"/>
        <w:jc w:val="both"/>
        <w:rPr>
          <w:rFonts w:ascii="Arial" w:eastAsia="Cambria" w:hAnsi="Arial" w:cs="Arial"/>
        </w:rPr>
      </w:pPr>
      <w:r w:rsidRPr="00B8624A">
        <w:rPr>
          <w:rFonts w:ascii="Arial" w:eastAsia="Cambria" w:hAnsi="Arial" w:cs="Arial"/>
        </w:rPr>
        <w:t>X.- La autorización del uso del suelo y funcionamiento de establecimientos mercantiles.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4.3 Entrega-recepción.</w:t>
      </w:r>
    </w:p>
    <w:p w:rsidR="003A2F7C" w:rsidRPr="003A2F7C" w:rsidRDefault="00724CA5" w:rsidP="003A2F7C">
      <w:pPr>
        <w:spacing w:line="360" w:lineRule="auto"/>
        <w:ind w:left="426"/>
        <w:jc w:val="both"/>
        <w:rPr>
          <w:rFonts w:ascii="Arial" w:eastAsia="Cambria" w:hAnsi="Arial" w:cs="Arial"/>
        </w:rPr>
      </w:pPr>
      <w:r w:rsidRPr="00B8624A">
        <w:rPr>
          <w:rFonts w:ascii="Arial" w:eastAsia="Cambria" w:hAnsi="Arial" w:cs="Arial"/>
        </w:rPr>
        <w:t>Consiste en la transferencia escalonada y ordenada de todas y cada una de las áreas de gobierno y de la administración municipal, de conformidad con el Reglamento de la materia y a falta de éste, lo que disponga el órgano técnico de fiscalización del Poder Legislativo.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b/>
        </w:rPr>
        <w:t>4.4 Planeación del desarrollo.</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cuenta con los siguientes instrumentos de planeación:</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lastRenderedPageBreak/>
        <w:t>I.- Plan Estratégico;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Plan Municipal de Desarrollo, y</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III.- Programas derivados de los Planes señalados en las fracciones anteriores.</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Las dependencias y entidades de la administración pública municipal tienen integrado sus Programas Operativos Anuales (POA´S) que son instrumentos anuales de la planeación municipal, serán concordantes con el Plan Municipal de Desarrollo y deberán ser presentados al Cabildo. Los ejercicios del presupuesto municipal están relacionados y alineados con el Plan Municipal de Desarrollo y sus respectivos programas (POA´S).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4.5 Administración paramunicipal.</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Existe una Administración Paramunicipal que comprende:</w:t>
      </w:r>
    </w:p>
    <w:p w:rsidR="00473FA3"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Los Organismos Descentralizados creados por los Ayuntamientos con la aprobación del Cabildo; como son Abastos de Mérida, Central de Abastos, Comité Permanente del Carnaval,</w:t>
      </w:r>
      <w:r w:rsidR="004445C8">
        <w:rPr>
          <w:rFonts w:ascii="Arial" w:eastAsia="Cambria" w:hAnsi="Arial" w:cs="Arial"/>
        </w:rPr>
        <w:t xml:space="preserve"> Servi-limpia</w:t>
      </w:r>
      <w:r w:rsidR="004445C8">
        <w:t xml:space="preserve"> </w:t>
      </w:r>
      <w:r w:rsidRPr="00B8624A">
        <w:rPr>
          <w:rFonts w:ascii="Arial" w:eastAsia="Cambria" w:hAnsi="Arial" w:cs="Arial"/>
        </w:rPr>
        <w:t xml:space="preserve"> </w:t>
      </w:r>
      <w:r w:rsidR="00473FA3" w:rsidRPr="00B8624A">
        <w:rPr>
          <w:rFonts w:ascii="Arial" w:eastAsia="Cambria" w:hAnsi="Arial" w:cs="Arial"/>
        </w:rPr>
        <w:t>y el Organismo Público Municipal Descentralizado de Operación y Administración de la Zona Sujeta a Conservación Ecológica Reserva Cuxtal</w:t>
      </w:r>
      <w:r w:rsidR="003E4D3C">
        <w:rPr>
          <w:rFonts w:ascii="Arial" w:eastAsia="Cambria" w:hAnsi="Arial" w:cs="Arial"/>
        </w:rPr>
        <w:t>.</w:t>
      </w:r>
    </w:p>
    <w:p w:rsidR="005204E8" w:rsidRPr="00B8624A" w:rsidRDefault="00724CA5" w:rsidP="004342DA">
      <w:pPr>
        <w:spacing w:line="360" w:lineRule="auto"/>
        <w:ind w:left="426"/>
        <w:jc w:val="both"/>
        <w:rPr>
          <w:rFonts w:ascii="Arial" w:eastAsia="Cambria" w:hAnsi="Arial" w:cs="Arial"/>
        </w:rPr>
      </w:pPr>
      <w:r w:rsidRPr="00B8624A">
        <w:rPr>
          <w:rFonts w:ascii="Arial" w:eastAsia="Cambria" w:hAnsi="Arial" w:cs="Arial"/>
        </w:rPr>
        <w:t>Estas entidades paramunicipales gozarán de autonomía de gestión, personalidad jurídica y patrimonio propio.</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4.6 Órgano de control y supervisión.</w:t>
      </w:r>
    </w:p>
    <w:p w:rsidR="003A2F7C" w:rsidRPr="00B8624A" w:rsidRDefault="00724CA5" w:rsidP="003A2F7C">
      <w:pPr>
        <w:spacing w:line="360" w:lineRule="auto"/>
        <w:ind w:left="426"/>
        <w:jc w:val="both"/>
        <w:rPr>
          <w:rFonts w:ascii="Arial" w:eastAsia="Cambria" w:hAnsi="Arial" w:cs="Arial"/>
        </w:rPr>
      </w:pPr>
      <w:r w:rsidRPr="00B8624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t>Bases de Preparación de los Estados Financieros.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del Municipio de Mérida, Yucatán utiliza las políticas contables siguientes aplicadas consistentemente:</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1.- </w:t>
      </w:r>
      <w:r w:rsidRPr="00B8624A">
        <w:rPr>
          <w:rFonts w:ascii="Arial" w:eastAsia="Cambria" w:hAnsi="Arial" w:cs="Arial"/>
          <w:b/>
          <w:u w:val="single"/>
        </w:rPr>
        <w:t>Bienes Muebles e Inmuebles</w:t>
      </w:r>
      <w:r w:rsidRPr="00B8624A">
        <w:rPr>
          <w:rFonts w:ascii="Arial" w:eastAsia="Cambria" w:hAnsi="Arial" w:cs="Arial"/>
        </w:rPr>
        <w:t xml:space="preserve">. - Se Registra contablemente al costo de su adquisición (excepto inmuebles cuyo valor no puede ser inferior al catastral). </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lastRenderedPageBreak/>
        <w:t xml:space="preserve">2.- </w:t>
      </w:r>
      <w:r w:rsidRPr="00B8624A">
        <w:rPr>
          <w:rFonts w:ascii="Arial" w:eastAsia="Cambria" w:hAnsi="Arial" w:cs="Arial"/>
          <w:b/>
          <w:u w:val="single"/>
        </w:rPr>
        <w:t>Depreciaciones inmuebles.</w:t>
      </w:r>
      <w:r w:rsidRPr="00B8624A">
        <w:rPr>
          <w:rFonts w:ascii="Arial" w:eastAsia="Cambria" w:hAnsi="Arial" w:cs="Arial"/>
        </w:rPr>
        <w:t xml:space="preserve"> - Tratándose de inmuebles están valuados a su costo de adquisición en su caso y este no es inferior al valor catastral; y no se da efecto a la depreciación. </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3.- </w:t>
      </w:r>
      <w:r w:rsidRPr="00B8624A">
        <w:rPr>
          <w:rFonts w:ascii="Arial" w:eastAsia="Cambria" w:hAnsi="Arial" w:cs="Arial"/>
          <w:b/>
          <w:u w:val="single"/>
        </w:rPr>
        <w:t>Valuación Actuarial de Obligaciones por pensiones.</w:t>
      </w:r>
      <w:r w:rsidRPr="00B8624A">
        <w:rPr>
          <w:rFonts w:ascii="Arial" w:eastAsia="Cambria" w:hAnsi="Arial" w:cs="Arial"/>
        </w:rPr>
        <w:t xml:space="preserve"> – El estudio actuarial de las pensiones de </w:t>
      </w:r>
      <w:r w:rsidR="004F14A0" w:rsidRPr="00B8624A">
        <w:rPr>
          <w:rFonts w:ascii="Arial" w:eastAsia="Cambria" w:hAnsi="Arial" w:cs="Arial"/>
        </w:rPr>
        <w:t>los trabajadores</w:t>
      </w:r>
      <w:r w:rsidRPr="00B8624A">
        <w:rPr>
          <w:rFonts w:ascii="Arial" w:eastAsia="Cambria" w:hAnsi="Arial" w:cs="Arial"/>
        </w:rPr>
        <w:t xml:space="preserve"> se actualiza de acuerdo a</w:t>
      </w:r>
      <w:r w:rsidR="00A30522" w:rsidRPr="00B8624A">
        <w:rPr>
          <w:rFonts w:ascii="Arial" w:eastAsia="Cambria" w:hAnsi="Arial" w:cs="Arial"/>
        </w:rPr>
        <w:t>rtículo 18</w:t>
      </w:r>
      <w:r w:rsidRPr="00B8624A">
        <w:rPr>
          <w:rFonts w:ascii="Arial" w:eastAsia="Cambria" w:hAnsi="Arial" w:cs="Arial"/>
        </w:rPr>
        <w:t xml:space="preserve"> fracción </w:t>
      </w:r>
      <w:r w:rsidR="00A30522" w:rsidRPr="00B8624A">
        <w:rPr>
          <w:rFonts w:ascii="Arial" w:eastAsia="Cambria" w:hAnsi="Arial" w:cs="Arial"/>
        </w:rPr>
        <w:t>I</w:t>
      </w:r>
      <w:r w:rsidRPr="00B8624A">
        <w:rPr>
          <w:rFonts w:ascii="Arial" w:eastAsia="Cambria" w:hAnsi="Arial" w:cs="Arial"/>
        </w:rPr>
        <w:t>V de la Ley de Disciplina Financiera de las Entidades Federativas y los Municipios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 Políticas de registros contables significativas.</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6.1 Reconocimiento de los efectos de la inflación.</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6.2 Arrendamientos.</w:t>
      </w:r>
    </w:p>
    <w:p w:rsidR="00724CA5" w:rsidRPr="00B8624A" w:rsidRDefault="00724CA5" w:rsidP="00B8624A">
      <w:pPr>
        <w:spacing w:line="360" w:lineRule="auto"/>
        <w:ind w:left="426"/>
        <w:rPr>
          <w:rFonts w:ascii="Arial" w:hAnsi="Arial" w:cs="Arial"/>
        </w:rPr>
      </w:pPr>
      <w:r w:rsidRPr="00B8624A">
        <w:rPr>
          <w:rFonts w:ascii="Arial" w:eastAsia="Cambria" w:hAnsi="Arial" w:cs="Arial"/>
        </w:rPr>
        <w:t>(Operativos)</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Municipio clasifica como arrendamiento operativo aquellas operaciones en la cual únicamente recibe el uso o goce del bien arrendado, sin que exista una transferencia de los riesgos y beneficios del bien. Estas rentas se aplican a los resultados conforme se incurren. </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6.3 Obligaciones Laborales.</w:t>
      </w:r>
    </w:p>
    <w:p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(lSSTEY), existe un convenio con el IMSS 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las prestaciones que se otorgan, durante el ejercicio 2016 el Ayuntamiento firmó un convenio con el </w:t>
      </w:r>
      <w:r w:rsidRPr="00B8624A">
        <w:rPr>
          <w:rFonts w:ascii="Arial" w:eastAsia="Cambria" w:hAnsi="Arial" w:cs="Arial"/>
        </w:rPr>
        <w:lastRenderedPageBreak/>
        <w:t>INFONAVIT, con la finalidad de poder brindarle a los trabajadores mejores oportunidades para la adquisición de viviendas dignas</w:t>
      </w:r>
      <w:r w:rsidR="00F6256A" w:rsidRPr="00B8624A">
        <w:rPr>
          <w:rFonts w:ascii="Arial" w:eastAsia="Cambria" w:hAnsi="Arial" w:cs="Arial"/>
        </w:rPr>
        <w:t>.</w:t>
      </w:r>
    </w:p>
    <w:p w:rsidR="00724CA5" w:rsidRPr="00B8624A" w:rsidRDefault="00724CA5" w:rsidP="00B8624A">
      <w:pPr>
        <w:spacing w:line="360" w:lineRule="auto"/>
        <w:ind w:left="426"/>
        <w:rPr>
          <w:rFonts w:ascii="Arial" w:hAnsi="Arial" w:cs="Arial"/>
        </w:rPr>
      </w:pPr>
      <w:r w:rsidRPr="00B8624A">
        <w:rPr>
          <w:rFonts w:ascii="Arial" w:eastAsia="Cambria" w:hAnsi="Arial" w:cs="Arial"/>
          <w:b/>
        </w:rPr>
        <w:t>6.4 Obligaciones fiscales.</w:t>
      </w: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En el ámbito fiscal, el Ente no es contribuyente del impuesto sobre la renta, sin embargo, las demás obligaciones se sujetan a ejercicios fiscales el cua</w:t>
      </w:r>
      <w:r w:rsidR="00081A93" w:rsidRPr="00B8624A">
        <w:rPr>
          <w:rFonts w:ascii="Arial" w:eastAsia="Cambria" w:hAnsi="Arial" w:cs="Arial"/>
        </w:rPr>
        <w:t>l comprende del 1 de enero al 3</w:t>
      </w:r>
      <w:r w:rsidR="00B20C83">
        <w:rPr>
          <w:rFonts w:ascii="Arial" w:eastAsia="Cambria" w:hAnsi="Arial" w:cs="Arial"/>
        </w:rPr>
        <w:t>0</w:t>
      </w:r>
      <w:r w:rsidRPr="00B8624A">
        <w:rPr>
          <w:rFonts w:ascii="Arial" w:eastAsia="Cambria" w:hAnsi="Arial" w:cs="Arial"/>
        </w:rPr>
        <w:t xml:space="preserve"> de </w:t>
      </w:r>
      <w:r w:rsidR="004B2192">
        <w:rPr>
          <w:rFonts w:ascii="Arial" w:eastAsia="Cambria" w:hAnsi="Arial" w:cs="Arial"/>
        </w:rPr>
        <w:t>Septiembre</w:t>
      </w:r>
      <w:r w:rsidRPr="00B8624A">
        <w:rPr>
          <w:rFonts w:ascii="Arial" w:eastAsia="Cambria" w:hAnsi="Arial" w:cs="Arial"/>
        </w:rPr>
        <w:t xml:space="preserve"> del 202</w:t>
      </w:r>
      <w:r w:rsidR="00E904BB">
        <w:rPr>
          <w:rFonts w:ascii="Arial" w:eastAsia="Cambria" w:hAnsi="Arial" w:cs="Arial"/>
        </w:rPr>
        <w:t>2</w:t>
      </w:r>
      <w:r w:rsidR="00081A93" w:rsidRPr="00B8624A">
        <w:rPr>
          <w:rFonts w:ascii="Arial" w:eastAsia="Cambria" w:hAnsi="Arial" w:cs="Arial"/>
        </w:rPr>
        <w:t>.</w:t>
      </w:r>
    </w:p>
    <w:p w:rsidR="008E2AF8"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Las principales obligaciones fiscales a que se encuentra sujeto son: </w:t>
      </w:r>
    </w:p>
    <w:p w:rsidR="00F6256A"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Retener y enterar el impuesto sobre la Renta por sueldos y salarios, por los servicios personales independientes y por el arrendamiento de bienes inmuebles, pagados a personas físicas.</w:t>
      </w:r>
    </w:p>
    <w:p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Comprobantes fiscales digitales por internet (CFDI): Exigirlos cuando se hagan pagos a terceros (proveedores de bienes y servicios) y expedirlos para acreditar las enajenaciones que efectúen, los servicios que presten o el otorgamiento del uso o goce temporal de bienes.</w:t>
      </w:r>
    </w:p>
    <w:p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rsidR="00724CA5"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 xml:space="preserve">Presentación de las Declaraciones Informativas que establezcan las disposiciones fiscales. </w:t>
      </w:r>
    </w:p>
    <w:p w:rsidR="005204E8" w:rsidRPr="00B8624A" w:rsidRDefault="005204E8" w:rsidP="00B8624A">
      <w:pPr>
        <w:spacing w:after="120" w:line="360" w:lineRule="auto"/>
        <w:contextualSpacing/>
        <w:jc w:val="both"/>
        <w:rPr>
          <w:rFonts w:ascii="Arial" w:eastAsia="Cambria" w:hAnsi="Arial" w:cs="Arial"/>
        </w:rPr>
      </w:pP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6.5 Información Presupuestaria.</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 El ente mantiene un registro de las etapas del presupuesto lo siguiente:</w:t>
      </w:r>
    </w:p>
    <w:p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 En lo relativo al gasto, el aprobado, modificado, comprometido, devengado, ejercido y pagado.</w:t>
      </w:r>
    </w:p>
    <w:p w:rsidR="00724CA5" w:rsidRDefault="00724CA5" w:rsidP="00B8624A">
      <w:pPr>
        <w:spacing w:line="360" w:lineRule="auto"/>
        <w:ind w:left="426"/>
        <w:jc w:val="both"/>
        <w:rPr>
          <w:rFonts w:ascii="Arial" w:eastAsia="Cambria" w:hAnsi="Arial" w:cs="Arial"/>
        </w:rPr>
      </w:pPr>
      <w:r w:rsidRPr="00B8624A">
        <w:rPr>
          <w:rFonts w:ascii="Arial" w:eastAsia="Cambria" w:hAnsi="Arial" w:cs="Arial"/>
        </w:rPr>
        <w:t>II.- En lo relativo al ingreso, el estimado, modificado, devengado y recaudado.</w:t>
      </w:r>
    </w:p>
    <w:p w:rsidR="003A2F7C" w:rsidRPr="00B8624A" w:rsidRDefault="003A2F7C" w:rsidP="00B8624A">
      <w:pPr>
        <w:spacing w:line="360" w:lineRule="auto"/>
        <w:ind w:left="426"/>
        <w:jc w:val="both"/>
        <w:rPr>
          <w:rFonts w:ascii="Arial" w:eastAsia="Cambria" w:hAnsi="Arial" w:cs="Arial"/>
        </w:rPr>
      </w:pPr>
    </w:p>
    <w:p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7. Posición en Moneda Extranjera y Protección por Riesgo Cambiario.</w:t>
      </w:r>
    </w:p>
    <w:p w:rsidR="00724CA5" w:rsidRDefault="00724CA5" w:rsidP="00B8624A">
      <w:pPr>
        <w:spacing w:line="360" w:lineRule="auto"/>
        <w:ind w:left="426"/>
        <w:jc w:val="both"/>
        <w:rPr>
          <w:rFonts w:ascii="Arial" w:eastAsia="Cambria" w:hAnsi="Arial" w:cs="Arial"/>
        </w:rPr>
      </w:pPr>
      <w:r w:rsidRPr="00B8624A">
        <w:rPr>
          <w:rFonts w:ascii="Arial" w:eastAsia="Cambria" w:hAnsi="Arial" w:cs="Arial"/>
        </w:rPr>
        <w:t>No cuenta con ningún activo o pasivo en moneda extranjera.</w:t>
      </w:r>
    </w:p>
    <w:p w:rsidR="003A2F7C" w:rsidRDefault="003A2F7C" w:rsidP="00B8624A">
      <w:pPr>
        <w:spacing w:line="360" w:lineRule="auto"/>
        <w:ind w:left="426"/>
        <w:jc w:val="both"/>
        <w:rPr>
          <w:rFonts w:ascii="Arial" w:eastAsia="Cambria" w:hAnsi="Arial" w:cs="Arial"/>
        </w:rPr>
      </w:pPr>
    </w:p>
    <w:p w:rsidR="003A2F7C" w:rsidRPr="00B8624A" w:rsidRDefault="003A2F7C" w:rsidP="00B8624A">
      <w:pPr>
        <w:spacing w:line="360" w:lineRule="auto"/>
        <w:ind w:left="426"/>
        <w:jc w:val="both"/>
        <w:rPr>
          <w:rFonts w:ascii="Arial" w:eastAsia="Cambria" w:hAnsi="Arial" w:cs="Arial"/>
        </w:rPr>
      </w:pPr>
    </w:p>
    <w:p w:rsidR="00724CA5" w:rsidRPr="00B8624A" w:rsidRDefault="00724CA5" w:rsidP="00B8624A">
      <w:pPr>
        <w:spacing w:line="360" w:lineRule="auto"/>
        <w:ind w:left="426"/>
        <w:jc w:val="both"/>
        <w:rPr>
          <w:rFonts w:ascii="Arial" w:eastAsia="Cambria" w:hAnsi="Arial" w:cs="Arial"/>
          <w:b/>
        </w:rPr>
      </w:pPr>
      <w:r w:rsidRPr="00B8624A">
        <w:rPr>
          <w:rFonts w:ascii="Arial" w:eastAsia="Cambria" w:hAnsi="Arial" w:cs="Arial"/>
          <w:b/>
        </w:rPr>
        <w:lastRenderedPageBreak/>
        <w:t>8. Reporte Analítico del Activo</w:t>
      </w:r>
    </w:p>
    <w:p w:rsidR="00724CA5" w:rsidRPr="00A002F3" w:rsidRDefault="003A2F7C" w:rsidP="00B8624A">
      <w:pPr>
        <w:spacing w:line="360" w:lineRule="auto"/>
        <w:ind w:left="426"/>
        <w:jc w:val="both"/>
        <w:rPr>
          <w:rFonts w:ascii="Cambria" w:eastAsia="Cambria" w:hAnsi="Cambria" w:cs="Cambria"/>
          <w:sz w:val="24"/>
          <w:szCs w:val="24"/>
        </w:rPr>
      </w:pPr>
      <w:r w:rsidRPr="008E2AF8">
        <w:rPr>
          <w:noProof/>
          <w:lang w:eastAsia="es-MX"/>
        </w:rPr>
        <w:drawing>
          <wp:anchor distT="0" distB="0" distL="114300" distR="114300" simplePos="0" relativeHeight="251663872" behindDoc="0" locked="0" layoutInCell="1" allowOverlap="1" wp14:anchorId="081B970E" wp14:editId="257E9F79">
            <wp:simplePos x="0" y="0"/>
            <wp:positionH relativeFrom="column">
              <wp:posOffset>828675</wp:posOffset>
            </wp:positionH>
            <wp:positionV relativeFrom="paragraph">
              <wp:posOffset>524510</wp:posOffset>
            </wp:positionV>
            <wp:extent cx="4695825" cy="6781800"/>
            <wp:effectExtent l="0" t="0" r="9525" b="0"/>
            <wp:wrapThrough wrapText="bothSides">
              <wp:wrapPolygon edited="0">
                <wp:start x="0" y="0"/>
                <wp:lineTo x="0" y="7766"/>
                <wp:lineTo x="21293" y="7766"/>
                <wp:lineTo x="0" y="8070"/>
                <wp:lineTo x="0" y="17231"/>
                <wp:lineTo x="21293" y="17474"/>
                <wp:lineTo x="0" y="17596"/>
                <wp:lineTo x="0" y="21539"/>
                <wp:lineTo x="21556" y="21539"/>
                <wp:lineTo x="21556" y="0"/>
                <wp:lineTo x="0" y="0"/>
              </wp:wrapPolygon>
            </wp:wrapThrough>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28">
                      <a:extLst>
                        <a:ext uri="{28A0092B-C50C-407E-A947-70E740481C1C}">
                          <a14:useLocalDpi xmlns:a14="http://schemas.microsoft.com/office/drawing/2010/main" val="0"/>
                        </a:ext>
                      </a:extLst>
                    </a:blip>
                    <a:srcRect b="1546"/>
                    <a:stretch/>
                  </pic:blipFill>
                  <pic:spPr bwMode="auto">
                    <a:xfrm>
                      <a:off x="0" y="0"/>
                      <a:ext cx="4695825" cy="678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CA5" w:rsidRPr="00B8624A">
        <w:rPr>
          <w:rFonts w:ascii="Arial" w:eastAsia="Cambria" w:hAnsi="Arial" w:cs="Arial"/>
        </w:rPr>
        <w:t>La vida útil utilizada en los bienes propiedad del Municipio se basa en los lineamientos emitidos por el CONAC mediante los Parámetros de Estimación de Vida Útil, los cuales son:</w:t>
      </w:r>
    </w:p>
    <w:p w:rsidR="00724CA5" w:rsidRPr="008E2AF8" w:rsidRDefault="00724CA5" w:rsidP="008E2AF8">
      <w:pPr>
        <w:ind w:left="426"/>
        <w:jc w:val="center"/>
        <w:rPr>
          <w:rFonts w:ascii="Cambria" w:eastAsia="Cambria" w:hAnsi="Cambria"/>
          <w:noProof/>
          <w:lang w:val="es-ES" w:eastAsia="es-ES"/>
        </w:rPr>
      </w:pPr>
    </w:p>
    <w:p w:rsidR="00724CA5" w:rsidRPr="00A002F3" w:rsidRDefault="00724CA5" w:rsidP="004F14A0">
      <w:pPr>
        <w:ind w:left="426"/>
        <w:jc w:val="both"/>
        <w:rPr>
          <w:rFonts w:ascii="Cambria" w:hAnsi="Cambria"/>
          <w:sz w:val="24"/>
          <w:szCs w:val="24"/>
        </w:rPr>
      </w:pPr>
      <w:r w:rsidRPr="00A002F3">
        <w:rPr>
          <w:rFonts w:ascii="Cambria" w:eastAsia="Cambria" w:hAnsi="Cambria" w:cs="Cambria"/>
          <w:b/>
          <w:sz w:val="24"/>
          <w:szCs w:val="24"/>
        </w:rPr>
        <w:lastRenderedPageBreak/>
        <w:t>9. Fideicomisos, Mandatos y Análogos.</w:t>
      </w:r>
    </w:p>
    <w:p w:rsidR="00724CA5" w:rsidRPr="00B8624A" w:rsidRDefault="00724CA5" w:rsidP="00734F0C">
      <w:pPr>
        <w:spacing w:line="276" w:lineRule="auto"/>
        <w:ind w:left="426"/>
        <w:jc w:val="both"/>
        <w:rPr>
          <w:rFonts w:ascii="Arial" w:hAnsi="Arial" w:cs="Arial"/>
        </w:rPr>
      </w:pPr>
      <w:r w:rsidRPr="00B8624A">
        <w:rPr>
          <w:rFonts w:ascii="Arial" w:eastAsia="Cambria" w:hAnsi="Arial" w:cs="Arial"/>
        </w:rPr>
        <w:t xml:space="preserve">Con el propósito de dar cumplimiento a lo dispuesto por el artículo </w:t>
      </w:r>
      <w:r w:rsidR="003A240F" w:rsidRPr="00B8624A">
        <w:rPr>
          <w:rFonts w:ascii="Arial" w:eastAsia="Cambria" w:hAnsi="Arial" w:cs="Arial"/>
        </w:rPr>
        <w:t xml:space="preserve">32 </w:t>
      </w:r>
      <w:r w:rsidRPr="00B8624A">
        <w:rPr>
          <w:rFonts w:ascii="Arial" w:eastAsia="Cambria" w:hAnsi="Arial" w:cs="Arial"/>
        </w:rPr>
        <w:t>de la Ley General de Contabilidad Gubernamental, se manifiesta que en el caso del</w:t>
      </w:r>
      <w:r w:rsidRPr="00B8624A">
        <w:rPr>
          <w:rFonts w:ascii="Arial" w:hAnsi="Arial" w:cs="Arial"/>
        </w:rPr>
        <w:t xml:space="preserve"> </w:t>
      </w:r>
      <w:r w:rsidRPr="00B8624A">
        <w:rPr>
          <w:rFonts w:ascii="Arial" w:hAnsi="Arial" w:cs="Arial"/>
          <w:b/>
        </w:rPr>
        <w:t>Ayuntamiento</w:t>
      </w:r>
      <w:r w:rsidRPr="00B8624A">
        <w:rPr>
          <w:rFonts w:ascii="Arial" w:eastAsia="Cambria" w:hAnsi="Arial" w:cs="Arial"/>
          <w:b/>
        </w:rPr>
        <w:t xml:space="preserve"> del Municipio de Mérida</w:t>
      </w:r>
      <w:r w:rsidRPr="00B8624A">
        <w:rPr>
          <w:rFonts w:ascii="Arial" w:eastAsia="Cambria" w:hAnsi="Arial" w:cs="Arial"/>
        </w:rPr>
        <w:t xml:space="preserve"> cuenta con Fideicomiso, Mandato y Análogo siguiente:</w:t>
      </w:r>
    </w:p>
    <w:p w:rsidR="00724CA5" w:rsidRPr="00B822F0" w:rsidRDefault="00724CA5" w:rsidP="00734F0C">
      <w:pPr>
        <w:pStyle w:val="Prrafodelista"/>
        <w:numPr>
          <w:ilvl w:val="0"/>
          <w:numId w:val="19"/>
        </w:numPr>
        <w:spacing w:after="0" w:line="276" w:lineRule="auto"/>
        <w:ind w:left="426" w:firstLine="0"/>
        <w:contextualSpacing w:val="0"/>
        <w:jc w:val="both"/>
        <w:rPr>
          <w:rFonts w:ascii="Arial" w:eastAsia="Cambria" w:hAnsi="Arial" w:cs="Arial"/>
        </w:rPr>
      </w:pPr>
      <w:r w:rsidRPr="00B822F0">
        <w:rPr>
          <w:rFonts w:ascii="Arial" w:eastAsia="Cambria" w:hAnsi="Arial" w:cs="Arial"/>
        </w:rPr>
        <w:t xml:space="preserve">SIRJUM: El Municipio cuenta con el Sistema Individual para el Retiro y Jubilación Municipal,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w:t>
      </w:r>
      <w:r w:rsidR="00184BC1" w:rsidRPr="00B822F0">
        <w:rPr>
          <w:rFonts w:ascii="Arial" w:eastAsia="Cambria" w:hAnsi="Arial" w:cs="Arial"/>
        </w:rPr>
        <w:t>con el Banco Nacional de México desde el</w:t>
      </w:r>
      <w:r w:rsidR="009A03E2" w:rsidRPr="00B822F0">
        <w:rPr>
          <w:rFonts w:ascii="Arial" w:eastAsia="Cambria" w:hAnsi="Arial" w:cs="Arial"/>
        </w:rPr>
        <w:t xml:space="preserve"> 15 de Julio 2002. </w:t>
      </w:r>
      <w:r w:rsidR="007658D6" w:rsidRPr="00B822F0">
        <w:rPr>
          <w:rFonts w:ascii="Arial" w:eastAsia="Cambria" w:hAnsi="Arial" w:cs="Arial"/>
        </w:rPr>
        <w:t>A partir del 15 de Julio del 202</w:t>
      </w:r>
      <w:r w:rsidR="00965A39" w:rsidRPr="00B822F0">
        <w:rPr>
          <w:rFonts w:ascii="Arial" w:eastAsia="Cambria" w:hAnsi="Arial" w:cs="Arial"/>
        </w:rPr>
        <w:t>1 se transfiere a Bursametrica C</w:t>
      </w:r>
      <w:r w:rsidR="007658D6" w:rsidRPr="00B822F0">
        <w:rPr>
          <w:rFonts w:ascii="Arial" w:eastAsia="Cambria" w:hAnsi="Arial" w:cs="Arial"/>
        </w:rPr>
        <w:t>a</w:t>
      </w:r>
      <w:r w:rsidR="00B814C8" w:rsidRPr="00B822F0">
        <w:rPr>
          <w:rFonts w:ascii="Arial" w:eastAsia="Cambria" w:hAnsi="Arial" w:cs="Arial"/>
        </w:rPr>
        <w:t>sa de B</w:t>
      </w:r>
      <w:r w:rsidR="006C1C11" w:rsidRPr="00B822F0">
        <w:rPr>
          <w:rFonts w:ascii="Arial" w:eastAsia="Cambria" w:hAnsi="Arial" w:cs="Arial"/>
        </w:rPr>
        <w:t>olsa, S.A</w:t>
      </w:r>
      <w:r w:rsidR="007658D6" w:rsidRPr="00B822F0">
        <w:rPr>
          <w:rFonts w:ascii="Arial" w:eastAsia="Cambria" w:hAnsi="Arial" w:cs="Arial"/>
        </w:rPr>
        <w:t xml:space="preserve"> de C.V, teniendo c</w:t>
      </w:r>
      <w:r w:rsidR="009A03E2" w:rsidRPr="00B822F0">
        <w:rPr>
          <w:rFonts w:ascii="Arial" w:eastAsia="Cambria" w:hAnsi="Arial" w:cs="Arial"/>
        </w:rPr>
        <w:t>omo intermediario al Banco HSBC con número de contrato F-1045.</w:t>
      </w:r>
    </w:p>
    <w:p w:rsidR="00184BC1" w:rsidRPr="00184BC1" w:rsidRDefault="00184BC1" w:rsidP="00184BC1">
      <w:pPr>
        <w:pStyle w:val="Prrafodelista"/>
        <w:spacing w:after="0" w:line="276" w:lineRule="auto"/>
        <w:ind w:left="426"/>
        <w:contextualSpacing w:val="0"/>
        <w:jc w:val="both"/>
        <w:rPr>
          <w:rFonts w:ascii="Cambria" w:eastAsia="Cambria" w:hAnsi="Cambria" w:cs="Cambria"/>
          <w:sz w:val="24"/>
          <w:szCs w:val="24"/>
        </w:rPr>
      </w:pPr>
    </w:p>
    <w:p w:rsidR="00BD54DE" w:rsidRDefault="00724CA5" w:rsidP="00BD54DE">
      <w:pPr>
        <w:tabs>
          <w:tab w:val="left" w:pos="567"/>
          <w:tab w:val="left" w:pos="851"/>
          <w:tab w:val="left" w:pos="1134"/>
          <w:tab w:val="left" w:pos="8222"/>
        </w:tabs>
        <w:ind w:left="426"/>
        <w:rPr>
          <w:rFonts w:ascii="Cambria" w:eastAsia="Cambria" w:hAnsi="Cambria" w:cs="Cambria"/>
          <w:b/>
          <w:sz w:val="24"/>
          <w:szCs w:val="24"/>
        </w:rPr>
      </w:pPr>
      <w:r w:rsidRPr="00186D19">
        <w:rPr>
          <w:rFonts w:ascii="Cambria" w:eastAsia="Cambria" w:hAnsi="Cambria" w:cs="Cambria"/>
          <w:b/>
          <w:sz w:val="24"/>
          <w:szCs w:val="24"/>
        </w:rPr>
        <w:t xml:space="preserve">10. Reporte de la Recaudación. </w:t>
      </w:r>
    </w:p>
    <w:p w:rsidR="009C0AAC" w:rsidRDefault="00BD54DE" w:rsidP="009C0AAC">
      <w:pPr>
        <w:tabs>
          <w:tab w:val="left" w:pos="567"/>
          <w:tab w:val="left" w:pos="851"/>
          <w:tab w:val="left" w:pos="1134"/>
          <w:tab w:val="left" w:pos="8222"/>
        </w:tabs>
        <w:ind w:left="426"/>
        <w:jc w:val="center"/>
        <w:rPr>
          <w:rFonts w:ascii="Cambria" w:eastAsia="Cambria" w:hAnsi="Cambria" w:cs="Cambria"/>
          <w:b/>
          <w:sz w:val="24"/>
          <w:szCs w:val="24"/>
        </w:rPr>
      </w:pPr>
      <w:r w:rsidRPr="00BD54DE">
        <w:rPr>
          <w:noProof/>
          <w:lang w:eastAsia="es-MX"/>
        </w:rPr>
        <w:drawing>
          <wp:inline distT="0" distB="0" distL="0" distR="0">
            <wp:extent cx="4962525" cy="4686300"/>
            <wp:effectExtent l="0" t="0" r="9525" b="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62525" cy="4686300"/>
                    </a:xfrm>
                    <a:prstGeom prst="rect">
                      <a:avLst/>
                    </a:prstGeom>
                    <a:noFill/>
                    <a:ln>
                      <a:noFill/>
                    </a:ln>
                  </pic:spPr>
                </pic:pic>
              </a:graphicData>
            </a:graphic>
          </wp:inline>
        </w:drawing>
      </w:r>
      <w:bookmarkStart w:id="1" w:name="_GoBack"/>
      <w:bookmarkEnd w:id="1"/>
    </w:p>
    <w:p w:rsidR="008E2AF8" w:rsidRDefault="00BD54DE" w:rsidP="008E2AF8">
      <w:pPr>
        <w:ind w:left="426"/>
        <w:jc w:val="center"/>
        <w:rPr>
          <w:rFonts w:ascii="Cambria" w:eastAsia="Cambria" w:hAnsi="Cambria" w:cs="Cambria"/>
          <w:b/>
          <w:sz w:val="24"/>
          <w:szCs w:val="24"/>
        </w:rPr>
      </w:pPr>
      <w:r w:rsidRPr="00BD54DE">
        <w:rPr>
          <w:noProof/>
          <w:lang w:eastAsia="es-MX"/>
        </w:rPr>
        <w:lastRenderedPageBreak/>
        <w:drawing>
          <wp:inline distT="0" distB="0" distL="0" distR="0">
            <wp:extent cx="4962525" cy="2476500"/>
            <wp:effectExtent l="0" t="0" r="9525" b="0"/>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62525" cy="2476500"/>
                    </a:xfrm>
                    <a:prstGeom prst="rect">
                      <a:avLst/>
                    </a:prstGeom>
                    <a:noFill/>
                    <a:ln>
                      <a:noFill/>
                    </a:ln>
                  </pic:spPr>
                </pic:pic>
              </a:graphicData>
            </a:graphic>
          </wp:inline>
        </w:drawing>
      </w:r>
    </w:p>
    <w:p w:rsidR="00FE402B" w:rsidRDefault="00FE402B" w:rsidP="008E2AF8">
      <w:pPr>
        <w:ind w:left="426"/>
        <w:jc w:val="center"/>
        <w:rPr>
          <w:rFonts w:ascii="Cambria" w:eastAsia="Cambria" w:hAnsi="Cambria" w:cs="Cambria"/>
          <w:b/>
          <w:sz w:val="24"/>
          <w:szCs w:val="24"/>
        </w:rPr>
      </w:pP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11. Información sobre la Deuda y el Reporte Analítico de la Deuda.</w:t>
      </w:r>
    </w:p>
    <w:p w:rsidR="00724CA5" w:rsidRPr="003B7B5F" w:rsidRDefault="00724CA5" w:rsidP="00241362">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t>Actualmente el Municipio de Mérida no cuenta con algún Financiamiento contratado con Instituciones Bancarias u Otros.</w:t>
      </w: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12. Calificaciones otorgadas.</w:t>
      </w:r>
    </w:p>
    <w:p w:rsidR="00724CA5" w:rsidRDefault="00724CA5" w:rsidP="00241362">
      <w:pPr>
        <w:autoSpaceDE w:val="0"/>
        <w:autoSpaceDN w:val="0"/>
        <w:adjustRightInd w:val="0"/>
        <w:spacing w:after="0" w:line="480" w:lineRule="auto"/>
        <w:ind w:left="426"/>
        <w:jc w:val="both"/>
        <w:rPr>
          <w:rFonts w:ascii="Cambria" w:hAnsi="Cambria"/>
          <w:sz w:val="24"/>
          <w:szCs w:val="24"/>
        </w:rPr>
      </w:pPr>
      <w:r w:rsidRPr="00A002F3">
        <w:rPr>
          <w:rFonts w:ascii="Cambria" w:hAnsi="Cambria"/>
          <w:sz w:val="24"/>
          <w:szCs w:val="24"/>
        </w:rPr>
        <w:t>Calificación Compañías Calificadoras: La última calificación crediticia otorgada al Municipio de Mérida por las compañías calificadoras, se describe a continuación:</w:t>
      </w:r>
    </w:p>
    <w:p w:rsidR="00013263" w:rsidRDefault="00013263" w:rsidP="00241362">
      <w:pPr>
        <w:autoSpaceDE w:val="0"/>
        <w:autoSpaceDN w:val="0"/>
        <w:adjustRightInd w:val="0"/>
        <w:spacing w:after="0" w:line="480" w:lineRule="auto"/>
        <w:ind w:left="426"/>
        <w:jc w:val="both"/>
        <w:rPr>
          <w:rFonts w:ascii="Cambria" w:hAnsi="Cambria"/>
          <w:sz w:val="24"/>
          <w:szCs w:val="24"/>
        </w:rPr>
      </w:pPr>
    </w:p>
    <w:p w:rsidR="00724CA5" w:rsidRDefault="00013263" w:rsidP="000F068C">
      <w:pPr>
        <w:autoSpaceDE w:val="0"/>
        <w:autoSpaceDN w:val="0"/>
        <w:adjustRightInd w:val="0"/>
        <w:spacing w:after="0" w:line="240" w:lineRule="auto"/>
        <w:ind w:left="426"/>
        <w:jc w:val="center"/>
        <w:rPr>
          <w:rFonts w:ascii="Cambria" w:hAnsi="Cambria"/>
          <w:sz w:val="24"/>
          <w:szCs w:val="24"/>
        </w:rPr>
      </w:pPr>
      <w:r w:rsidRPr="00013263">
        <w:rPr>
          <w:noProof/>
          <w:lang w:eastAsia="es-MX"/>
        </w:rPr>
        <w:drawing>
          <wp:inline distT="0" distB="0" distL="0" distR="0">
            <wp:extent cx="5810250" cy="80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0" cy="800100"/>
                    </a:xfrm>
                    <a:prstGeom prst="rect">
                      <a:avLst/>
                    </a:prstGeom>
                    <a:noFill/>
                    <a:ln>
                      <a:noFill/>
                    </a:ln>
                  </pic:spPr>
                </pic:pic>
              </a:graphicData>
            </a:graphic>
          </wp:inline>
        </w:drawing>
      </w:r>
    </w:p>
    <w:p w:rsidR="000F068C" w:rsidRDefault="000F068C" w:rsidP="000F068C">
      <w:pPr>
        <w:autoSpaceDE w:val="0"/>
        <w:autoSpaceDN w:val="0"/>
        <w:adjustRightInd w:val="0"/>
        <w:spacing w:after="0" w:line="240" w:lineRule="auto"/>
        <w:ind w:left="426"/>
        <w:jc w:val="center"/>
        <w:rPr>
          <w:rFonts w:ascii="Cambria" w:hAnsi="Cambria"/>
          <w:sz w:val="24"/>
          <w:szCs w:val="24"/>
        </w:rPr>
      </w:pPr>
    </w:p>
    <w:p w:rsidR="00EF50FC" w:rsidRDefault="00EF50FC" w:rsidP="000F068C">
      <w:pPr>
        <w:autoSpaceDE w:val="0"/>
        <w:autoSpaceDN w:val="0"/>
        <w:adjustRightInd w:val="0"/>
        <w:spacing w:after="0" w:line="240" w:lineRule="auto"/>
        <w:ind w:left="426"/>
        <w:jc w:val="center"/>
        <w:rPr>
          <w:rFonts w:ascii="Cambria" w:hAnsi="Cambria"/>
          <w:sz w:val="24"/>
          <w:szCs w:val="24"/>
        </w:rPr>
      </w:pPr>
    </w:p>
    <w:p w:rsidR="00EF50FC" w:rsidRDefault="00EF50FC" w:rsidP="000F068C">
      <w:pPr>
        <w:autoSpaceDE w:val="0"/>
        <w:autoSpaceDN w:val="0"/>
        <w:adjustRightInd w:val="0"/>
        <w:spacing w:after="0" w:line="240" w:lineRule="auto"/>
        <w:ind w:left="426"/>
        <w:jc w:val="center"/>
        <w:rPr>
          <w:rFonts w:ascii="Cambria" w:hAnsi="Cambria"/>
          <w:sz w:val="24"/>
          <w:szCs w:val="24"/>
        </w:rPr>
      </w:pPr>
    </w:p>
    <w:p w:rsidR="00EF50FC" w:rsidRDefault="00EF50FC" w:rsidP="000F068C">
      <w:pPr>
        <w:autoSpaceDE w:val="0"/>
        <w:autoSpaceDN w:val="0"/>
        <w:adjustRightInd w:val="0"/>
        <w:spacing w:after="0" w:line="240" w:lineRule="auto"/>
        <w:ind w:left="426"/>
        <w:jc w:val="center"/>
        <w:rPr>
          <w:rFonts w:ascii="Cambria" w:hAnsi="Cambria"/>
          <w:sz w:val="24"/>
          <w:szCs w:val="24"/>
        </w:rPr>
      </w:pPr>
    </w:p>
    <w:p w:rsidR="00A352FB" w:rsidRDefault="00A352FB" w:rsidP="000F068C">
      <w:pPr>
        <w:autoSpaceDE w:val="0"/>
        <w:autoSpaceDN w:val="0"/>
        <w:adjustRightInd w:val="0"/>
        <w:spacing w:after="0" w:line="240" w:lineRule="auto"/>
        <w:ind w:left="426"/>
        <w:jc w:val="center"/>
        <w:rPr>
          <w:rFonts w:ascii="Cambria" w:hAnsi="Cambria"/>
          <w:sz w:val="24"/>
          <w:szCs w:val="24"/>
        </w:rPr>
      </w:pPr>
    </w:p>
    <w:p w:rsidR="00A352FB" w:rsidRDefault="00A352FB" w:rsidP="000F068C">
      <w:pPr>
        <w:autoSpaceDE w:val="0"/>
        <w:autoSpaceDN w:val="0"/>
        <w:adjustRightInd w:val="0"/>
        <w:spacing w:after="0" w:line="240" w:lineRule="auto"/>
        <w:ind w:left="426"/>
        <w:jc w:val="center"/>
        <w:rPr>
          <w:rFonts w:ascii="Cambria" w:hAnsi="Cambria"/>
          <w:sz w:val="24"/>
          <w:szCs w:val="24"/>
        </w:rPr>
      </w:pPr>
    </w:p>
    <w:p w:rsidR="00EF50FC" w:rsidRPr="000F068C" w:rsidRDefault="00EF50FC" w:rsidP="000F068C">
      <w:pPr>
        <w:autoSpaceDE w:val="0"/>
        <w:autoSpaceDN w:val="0"/>
        <w:adjustRightInd w:val="0"/>
        <w:spacing w:after="0" w:line="240" w:lineRule="auto"/>
        <w:ind w:left="426"/>
        <w:jc w:val="center"/>
        <w:rPr>
          <w:rFonts w:ascii="Cambria" w:hAnsi="Cambria"/>
          <w:sz w:val="24"/>
          <w:szCs w:val="24"/>
        </w:rPr>
      </w:pPr>
    </w:p>
    <w:p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lastRenderedPageBreak/>
        <w:t xml:space="preserve">13. Proceso de Mejora </w:t>
      </w:r>
    </w:p>
    <w:p w:rsidR="000F068C" w:rsidRDefault="00724CA5" w:rsidP="000F068C">
      <w:pPr>
        <w:spacing w:line="360" w:lineRule="auto"/>
        <w:ind w:left="426"/>
        <w:jc w:val="both"/>
        <w:rPr>
          <w:rFonts w:ascii="Arial" w:eastAsia="Cambria" w:hAnsi="Arial" w:cs="Arial"/>
        </w:rPr>
      </w:pPr>
      <w:r w:rsidRPr="00241362">
        <w:rPr>
          <w:rFonts w:ascii="Arial" w:eastAsia="Cambria" w:hAnsi="Arial" w:cs="Arial"/>
        </w:rPr>
        <w:t>El Ente se encuentra en constante actualización e implementación de la armonización contable establecida en la LGCG.</w:t>
      </w:r>
    </w:p>
    <w:p w:rsidR="00724CA5" w:rsidRPr="000F068C" w:rsidRDefault="00724CA5" w:rsidP="000F068C">
      <w:pPr>
        <w:spacing w:line="360" w:lineRule="auto"/>
        <w:ind w:left="426"/>
        <w:jc w:val="both"/>
        <w:rPr>
          <w:rFonts w:ascii="Arial" w:eastAsia="Cambria" w:hAnsi="Arial" w:cs="Arial"/>
        </w:rPr>
      </w:pPr>
      <w:r w:rsidRPr="00A002F3">
        <w:rPr>
          <w:rFonts w:ascii="Cambria" w:eastAsia="Cambria" w:hAnsi="Cambria" w:cs="Cambria"/>
          <w:b/>
          <w:sz w:val="24"/>
          <w:szCs w:val="24"/>
        </w:rPr>
        <w:t>14. Partes Relacionadas</w:t>
      </w:r>
    </w:p>
    <w:p w:rsidR="00724CA5" w:rsidRPr="00241362" w:rsidRDefault="00724CA5" w:rsidP="000F068C">
      <w:pPr>
        <w:tabs>
          <w:tab w:val="left" w:pos="426"/>
        </w:tabs>
        <w:spacing w:line="360" w:lineRule="auto"/>
        <w:ind w:left="426"/>
        <w:jc w:val="both"/>
        <w:rPr>
          <w:rFonts w:ascii="Arial" w:eastAsia="Cambria" w:hAnsi="Arial" w:cs="Arial"/>
        </w:rPr>
      </w:pPr>
      <w:r w:rsidRPr="00241362">
        <w:rPr>
          <w:rFonts w:ascii="Arial" w:eastAsia="Cambria" w:hAnsi="Arial" w:cs="Arial"/>
        </w:rPr>
        <w:t>Con el propósito de dar cumplimiento a</w:t>
      </w:r>
      <w:r w:rsidR="003718B0" w:rsidRPr="00241362">
        <w:rPr>
          <w:rFonts w:ascii="Arial" w:eastAsia="Cambria" w:hAnsi="Arial" w:cs="Arial"/>
        </w:rPr>
        <w:t xml:space="preserve"> lo dispuesto por el artículo 49</w:t>
      </w:r>
      <w:r w:rsidRPr="00241362">
        <w:rPr>
          <w:rFonts w:ascii="Arial" w:eastAsia="Cambria" w:hAnsi="Arial" w:cs="Arial"/>
        </w:rPr>
        <w:t xml:space="preserve">, fracción V de la Ley General de Contabilidad Gubernamental, se manifiesta </w:t>
      </w:r>
      <w:r w:rsidR="003718B0" w:rsidRPr="00241362">
        <w:rPr>
          <w:rFonts w:ascii="Arial" w:eastAsia="Cambria" w:hAnsi="Arial" w:cs="Arial"/>
        </w:rPr>
        <w:t xml:space="preserve">que en el caso del </w:t>
      </w:r>
      <w:r w:rsidR="00FE402B" w:rsidRPr="00241362">
        <w:rPr>
          <w:rFonts w:ascii="Arial" w:eastAsia="Cambria" w:hAnsi="Arial" w:cs="Arial"/>
        </w:rPr>
        <w:t>Municipio no existen</w:t>
      </w:r>
      <w:r w:rsidR="00B7680B" w:rsidRPr="00241362">
        <w:rPr>
          <w:rFonts w:ascii="Arial" w:eastAsia="Cambria" w:hAnsi="Arial" w:cs="Arial"/>
        </w:rPr>
        <w:t xml:space="preserve"> partes relacionadas </w:t>
      </w:r>
      <w:r w:rsidRPr="00241362">
        <w:rPr>
          <w:rFonts w:ascii="Arial" w:eastAsia="Cambria" w:hAnsi="Arial" w:cs="Arial"/>
        </w:rPr>
        <w:t xml:space="preserve">que </w:t>
      </w:r>
      <w:r w:rsidR="00B7680B" w:rsidRPr="00241362">
        <w:rPr>
          <w:rFonts w:ascii="Arial" w:eastAsia="Cambria" w:hAnsi="Arial" w:cs="Arial"/>
        </w:rPr>
        <w:t xml:space="preserve">pudieran </w:t>
      </w:r>
      <w:r w:rsidRPr="00241362">
        <w:rPr>
          <w:rFonts w:ascii="Arial" w:eastAsia="Cambria" w:hAnsi="Arial" w:cs="Arial"/>
        </w:rPr>
        <w:t>ejercen influencia significativa sobre la toma de decisiones financieras y operativas.</w:t>
      </w:r>
    </w:p>
    <w:p w:rsidR="00724CA5"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t>15. Compromisos y Contingencias.</w:t>
      </w:r>
    </w:p>
    <w:p w:rsidR="00724CA5" w:rsidRPr="0014680C"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t>15.1 Seguros y Coberturas</w:t>
      </w:r>
    </w:p>
    <w:p w:rsidR="00724CA5" w:rsidRDefault="00724CA5" w:rsidP="000F068C">
      <w:pPr>
        <w:ind w:left="426"/>
        <w:jc w:val="both"/>
        <w:rPr>
          <w:rFonts w:ascii="Cambria" w:eastAsia="Cambria" w:hAnsi="Cambria" w:cs="Cambria"/>
          <w:sz w:val="24"/>
          <w:szCs w:val="24"/>
        </w:rPr>
      </w:pPr>
      <w:r w:rsidRPr="00A002F3">
        <w:rPr>
          <w:rFonts w:ascii="Cambria" w:eastAsia="Cambria" w:hAnsi="Cambria" w:cs="Cambria"/>
          <w:sz w:val="24"/>
          <w:szCs w:val="24"/>
        </w:rPr>
        <w:t>Existe Seguros de cobertura de vehículos y de vida (laboral).</w:t>
      </w:r>
    </w:p>
    <w:p w:rsidR="00724CA5" w:rsidRPr="00347598" w:rsidRDefault="00724CA5" w:rsidP="000F068C">
      <w:pPr>
        <w:ind w:left="426"/>
        <w:jc w:val="both"/>
        <w:rPr>
          <w:rFonts w:ascii="Cambria" w:eastAsia="Cambria" w:hAnsi="Cambria" w:cs="Cambria"/>
          <w:b/>
          <w:color w:val="000000" w:themeColor="text1"/>
          <w:sz w:val="24"/>
          <w:szCs w:val="24"/>
        </w:rPr>
      </w:pPr>
      <w:r w:rsidRPr="00347598">
        <w:rPr>
          <w:rFonts w:ascii="Cambria" w:eastAsia="Cambria" w:hAnsi="Cambria" w:cs="Cambria"/>
          <w:b/>
          <w:color w:val="000000" w:themeColor="text1"/>
          <w:sz w:val="24"/>
          <w:szCs w:val="24"/>
        </w:rPr>
        <w:t xml:space="preserve">15.2 Informe sobre pasivos contingentes </w:t>
      </w:r>
      <w:r w:rsidR="000A6D78" w:rsidRPr="00347598">
        <w:rPr>
          <w:rFonts w:ascii="Cambria" w:eastAsia="Cambria" w:hAnsi="Cambria" w:cs="Cambria"/>
          <w:b/>
          <w:color w:val="000000" w:themeColor="text1"/>
          <w:sz w:val="24"/>
          <w:szCs w:val="24"/>
        </w:rPr>
        <w:t xml:space="preserve"> </w:t>
      </w:r>
    </w:p>
    <w:p w:rsidR="00445A15" w:rsidRPr="00241362" w:rsidRDefault="00B407EE" w:rsidP="000F068C">
      <w:pPr>
        <w:spacing w:line="360" w:lineRule="auto"/>
        <w:ind w:left="426"/>
        <w:jc w:val="both"/>
        <w:rPr>
          <w:rFonts w:ascii="Arial" w:hAnsi="Arial" w:cs="Arial"/>
          <w:lang w:eastAsia="es-ES"/>
        </w:rPr>
      </w:pPr>
      <w:r w:rsidRPr="00241362">
        <w:rPr>
          <w:rFonts w:ascii="Arial" w:hAnsi="Arial" w:cs="Arial"/>
          <w:lang w:eastAsia="es-ES"/>
        </w:rPr>
        <w:t>En</w:t>
      </w:r>
      <w:r>
        <w:rPr>
          <w:rFonts w:ascii="Arial" w:hAnsi="Arial" w:cs="Arial"/>
          <w:lang w:eastAsia="es-ES"/>
        </w:rPr>
        <w:t xml:space="preserve"> cumplimiento a lo dispuesto en el artículo 48 y con referencia al artículo 46, fracción I, inciso f), de la </w:t>
      </w:r>
      <w:r w:rsidRPr="00241362">
        <w:rPr>
          <w:rFonts w:ascii="Arial" w:hAnsi="Arial" w:cs="Arial"/>
          <w:lang w:eastAsia="es-ES"/>
        </w:rPr>
        <w:t xml:space="preserve">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r w:rsidR="00445A15" w:rsidRPr="00241362">
        <w:rPr>
          <w:rFonts w:ascii="Arial" w:hAnsi="Arial" w:cs="Arial"/>
          <w:lang w:eastAsia="es-ES"/>
        </w:rPr>
        <w:t xml:space="preserve">  </w:t>
      </w:r>
    </w:p>
    <w:p w:rsidR="00445A15" w:rsidRPr="00241362" w:rsidRDefault="00445A15" w:rsidP="000F068C">
      <w:pPr>
        <w:spacing w:before="82" w:line="360" w:lineRule="auto"/>
        <w:ind w:left="426"/>
        <w:jc w:val="both"/>
        <w:rPr>
          <w:rFonts w:ascii="Arial" w:hAnsi="Arial" w:cs="Arial"/>
          <w:lang w:eastAsia="es-ES"/>
        </w:rPr>
      </w:pPr>
      <w:r w:rsidRPr="00241362">
        <w:rPr>
          <w:rFonts w:ascii="Arial" w:hAnsi="Arial" w:cs="Arial"/>
          <w:lang w:eastAsia="es-ES"/>
        </w:rPr>
        <w:t>Lo anterior, de conformidad con lo establecido</w:t>
      </w:r>
      <w:r w:rsidR="00A77E34">
        <w:rPr>
          <w:rFonts w:ascii="Arial" w:hAnsi="Arial" w:cs="Arial"/>
          <w:lang w:eastAsia="es-ES"/>
        </w:rPr>
        <w:t xml:space="preserve"> en el capítulo VII, numeral </w:t>
      </w:r>
      <w:r w:rsidR="00FF0305">
        <w:rPr>
          <w:rFonts w:ascii="Arial" w:hAnsi="Arial" w:cs="Arial"/>
          <w:lang w:eastAsia="es-ES"/>
        </w:rPr>
        <w:t>II</w:t>
      </w:r>
      <w:r w:rsidR="00A77E34">
        <w:rPr>
          <w:rFonts w:ascii="Arial" w:hAnsi="Arial" w:cs="Arial"/>
          <w:lang w:eastAsia="es-ES"/>
        </w:rPr>
        <w:t>, inciso h</w:t>
      </w:r>
      <w:r w:rsidRPr="00241362">
        <w:rPr>
          <w:rFonts w:ascii="Arial" w:hAnsi="Arial" w:cs="Arial"/>
          <w:lang w:eastAsia="es-ES"/>
        </w:rPr>
        <w:t xml:space="preserve">) del Manual de Contabilidad Gubernamental emitido por el CONAC, donde se establece en términos generales que: </w:t>
      </w:r>
    </w:p>
    <w:p w:rsidR="00445A15" w:rsidRDefault="00445A15" w:rsidP="000F068C">
      <w:pPr>
        <w:spacing w:before="81" w:line="360" w:lineRule="auto"/>
        <w:ind w:left="426"/>
        <w:jc w:val="both"/>
        <w:rPr>
          <w:rFonts w:ascii="Arial" w:hAnsi="Arial" w:cs="Arial"/>
          <w:lang w:eastAsia="es-ES"/>
        </w:rPr>
      </w:pPr>
      <w:r w:rsidRPr="00241362">
        <w:rPr>
          <w:rFonts w:ascii="Arial" w:hAnsi="Arial" w:cs="Arial"/>
          <w:lang w:eastAsia="es-ES"/>
        </w:rPr>
        <w:t xml:space="preserve">“Los pasivos contingentes son obligaciones que tienen su origen en hechos específicos e independientes del pasado que en el futuro pueden ocurrir o no y, de </w:t>
      </w:r>
      <w:r w:rsidR="00EB0D64" w:rsidRPr="00241362">
        <w:rPr>
          <w:rFonts w:ascii="Arial" w:hAnsi="Arial" w:cs="Arial"/>
          <w:lang w:eastAsia="es-ES"/>
        </w:rPr>
        <w:t xml:space="preserve">acuerdo con lo que acontezca, </w:t>
      </w:r>
      <w:r w:rsidR="00706DF9" w:rsidRPr="00241362">
        <w:rPr>
          <w:rFonts w:ascii="Arial" w:hAnsi="Arial" w:cs="Arial"/>
          <w:lang w:eastAsia="es-ES"/>
        </w:rPr>
        <w:t>desaparecen o se convierten</w:t>
      </w:r>
      <w:r w:rsidRPr="00241362">
        <w:rPr>
          <w:rFonts w:ascii="Arial" w:hAnsi="Arial" w:cs="Arial"/>
          <w:lang w:eastAsia="es-ES"/>
        </w:rPr>
        <w:t xml:space="preserve">  en  pasivos  reales  por ejemplo, juicios, garantías, avales, costos de planes de pensiones, jubilaciones, etc</w:t>
      </w:r>
      <w:r w:rsidR="00734F0C">
        <w:rPr>
          <w:rFonts w:ascii="Arial" w:hAnsi="Arial" w:cs="Arial"/>
          <w:lang w:eastAsia="es-ES"/>
        </w:rPr>
        <w:t>.” los cuales se presentan en anexo aparte</w:t>
      </w:r>
      <w:r w:rsidR="00706DF9">
        <w:rPr>
          <w:rFonts w:ascii="Arial" w:hAnsi="Arial" w:cs="Arial"/>
          <w:lang w:eastAsia="es-ES"/>
        </w:rPr>
        <w:t>.</w:t>
      </w:r>
    </w:p>
    <w:p w:rsidR="00724CA5" w:rsidRDefault="00724CA5" w:rsidP="001F16C3">
      <w:pPr>
        <w:spacing w:line="360" w:lineRule="auto"/>
        <w:ind w:left="426"/>
        <w:jc w:val="both"/>
        <w:rPr>
          <w:rFonts w:ascii="Arial" w:hAnsi="Arial" w:cs="Arial"/>
          <w:lang w:eastAsia="es-ES"/>
        </w:rPr>
      </w:pPr>
      <w:r w:rsidRPr="001F16C3">
        <w:rPr>
          <w:rFonts w:ascii="Arial" w:hAnsi="Arial" w:cs="Arial"/>
          <w:lang w:eastAsia="es-ES"/>
        </w:rPr>
        <w:lastRenderedPageBreak/>
        <w:t>“Bajo protesta de decir verdad declaramos que los Estados Financieros y sus notas, son razonablemente correctos y son responsabilidad del emisor”.</w:t>
      </w:r>
    </w:p>
    <w:p w:rsidR="00184C8F" w:rsidRPr="001F16C3" w:rsidRDefault="00184C8F" w:rsidP="001F16C3">
      <w:pPr>
        <w:spacing w:line="360" w:lineRule="auto"/>
        <w:ind w:left="426"/>
        <w:jc w:val="both"/>
        <w:rPr>
          <w:rFonts w:ascii="Arial" w:hAnsi="Arial" w:cs="Arial"/>
          <w:lang w:eastAsia="es-ES"/>
        </w:rPr>
      </w:pPr>
    </w:p>
    <w:p w:rsidR="00445A15" w:rsidRDefault="00782A5D" w:rsidP="00184C8F">
      <w:pPr>
        <w:jc w:val="both"/>
        <w:rPr>
          <w:rFonts w:ascii="Cambria" w:hAnsi="Cambria" w:cs="Arial"/>
          <w:sz w:val="24"/>
          <w:szCs w:val="24"/>
          <w:lang w:val="es-ES" w:eastAsia="es-ES"/>
        </w:rPr>
      </w:pPr>
      <w:r>
        <w:rPr>
          <w:rFonts w:ascii="Cambria" w:hAnsi="Cambria" w:cs="Arial"/>
          <w:noProof/>
          <w:sz w:val="24"/>
          <w:szCs w:val="24"/>
          <w:lang w:eastAsia="es-MX"/>
        </w:rPr>
        <mc:AlternateContent>
          <mc:Choice Requires="wpg">
            <w:drawing>
              <wp:anchor distT="0" distB="0" distL="114300" distR="114300" simplePos="0" relativeHeight="251659776" behindDoc="0" locked="0" layoutInCell="1" allowOverlap="1" wp14:anchorId="068E0542" wp14:editId="116C684E">
                <wp:simplePos x="0" y="0"/>
                <wp:positionH relativeFrom="column">
                  <wp:posOffset>397199</wp:posOffset>
                </wp:positionH>
                <wp:positionV relativeFrom="paragraph">
                  <wp:posOffset>243441</wp:posOffset>
                </wp:positionV>
                <wp:extent cx="5448300" cy="523875"/>
                <wp:effectExtent l="0" t="0" r="38100" b="9525"/>
                <wp:wrapNone/>
                <wp:docPr id="12"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21" name="Grupo 21"/>
                        <wpg:cNvGrpSpPr>
                          <a:grpSpLocks/>
                        </wpg:cNvGrpSpPr>
                        <wpg:grpSpPr>
                          <a:xfrm>
                            <a:off x="0" y="19050"/>
                            <a:ext cx="2486025" cy="504825"/>
                            <a:chOff x="0" y="0"/>
                            <a:chExt cx="2486025" cy="504825"/>
                          </a:xfrm>
                        </wpg:grpSpPr>
                        <wps:wsp>
                          <wps:cNvPr id="30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rsidR="00A1098C" w:rsidRPr="005955FA" w:rsidRDefault="00A1098C" w:rsidP="00724CA5">
                                <w:pPr>
                                  <w:spacing w:after="0"/>
                                  <w:jc w:val="center"/>
                                  <w:rPr>
                                    <w:rFonts w:ascii="Cambria" w:hAnsi="Cambria"/>
                                    <w:b/>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22"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26" name="Grupo 26"/>
                        <wpg:cNvGrpSpPr>
                          <a:grpSpLocks/>
                        </wpg:cNvGrpSpPr>
                        <wpg:grpSpPr>
                          <a:xfrm>
                            <a:off x="2962275" y="0"/>
                            <a:ext cx="2486025" cy="504825"/>
                            <a:chOff x="0" y="0"/>
                            <a:chExt cx="2486025" cy="504825"/>
                          </a:xfrm>
                        </wpg:grpSpPr>
                        <wps:wsp>
                          <wps:cNvPr id="2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rsidR="00A1098C" w:rsidRDefault="00A1098C" w:rsidP="00724CA5">
                                <w:pPr>
                                  <w:spacing w:after="0"/>
                                  <w:jc w:val="center"/>
                                  <w:rPr>
                                    <w:rFonts w:ascii="Cambria" w:hAnsi="Cambria"/>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w:t>
                                </w:r>
                                <w:r w:rsidR="00BB7750">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sidR="00BB7750">
                                  <w:rPr>
                                    <w:rFonts w:ascii="Cambria" w:hAnsi="Cambria"/>
                                    <w:noProof/>
                                    <w:sz w:val="16"/>
                                    <w:szCs w:val="16"/>
                                  </w:rPr>
                                  <w:t>,  MTRA.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A1098C" w:rsidRPr="00FD0D66" w:rsidRDefault="00A1098C" w:rsidP="00724CA5">
                                <w:pPr>
                                  <w:spacing w:after="0"/>
                                  <w:jc w:val="center"/>
                                  <w:rPr>
                                    <w:rFonts w:ascii="Cambria" w:hAnsi="Cambria"/>
                                    <w:sz w:val="16"/>
                                    <w:szCs w:val="16"/>
                                  </w:rPr>
                                </w:pPr>
                              </w:p>
                            </w:txbxContent>
                          </wps:txbx>
                          <wps:bodyPr rot="0" vert="horz" wrap="square" lIns="91440" tIns="45720" rIns="91440" bIns="45720" anchor="t" anchorCtr="0">
                            <a:noAutofit/>
                          </wps:bodyPr>
                        </wps:wsp>
                        <wps:wsp>
                          <wps:cNvPr id="28"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068E0542" id="Grupo 12" o:spid="_x0000_s1032" style="position:absolute;left:0;text-align:left;margin-left:31.3pt;margin-top:19.15pt;width:429pt;height:41.25pt;z-index:251659776"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A1098C" w:rsidRPr="005955FA" w:rsidRDefault="00A1098C" w:rsidP="00724CA5">
                          <w:pPr>
                            <w:spacing w:after="0"/>
                            <w:jc w:val="center"/>
                            <w:rPr>
                              <w:rFonts w:ascii="Cambria" w:hAnsi="Cambria"/>
                              <w:b/>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A1098C" w:rsidRDefault="00A1098C" w:rsidP="00724CA5">
                          <w:pPr>
                            <w:spacing w:after="0"/>
                            <w:jc w:val="center"/>
                            <w:rPr>
                              <w:rFonts w:ascii="Cambria" w:hAnsi="Cambria"/>
                              <w:noProof/>
                              <w:sz w:val="16"/>
                              <w:szCs w:val="16"/>
                            </w:rPr>
                          </w:pPr>
                        </w:p>
                        <w:p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w:t>
                          </w:r>
                          <w:r w:rsidR="00BB7750">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sidR="00BB7750">
                            <w:rPr>
                              <w:rFonts w:ascii="Cambria" w:hAnsi="Cambria"/>
                              <w:noProof/>
                              <w:sz w:val="16"/>
                              <w:szCs w:val="16"/>
                            </w:rPr>
                            <w:t>,  MTRA.</w:t>
                          </w:r>
                        </w:p>
                        <w:p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rsidR="00A1098C" w:rsidRPr="00FD0D66" w:rsidRDefault="00A1098C" w:rsidP="00724CA5">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" strokecolor="windowText"/>
                </v:group>
              </v:group>
            </w:pict>
          </mc:Fallback>
        </mc:AlternateContent>
      </w:r>
    </w:p>
    <w:p w:rsidR="00445A15" w:rsidRPr="00A002F3" w:rsidRDefault="00445A15" w:rsidP="00724CA5">
      <w:pPr>
        <w:ind w:left="426"/>
        <w:jc w:val="both"/>
        <w:rPr>
          <w:rFonts w:ascii="Cambria" w:hAnsi="Cambria" w:cs="Arial"/>
          <w:sz w:val="24"/>
          <w:szCs w:val="24"/>
          <w:lang w:val="es-ES" w:eastAsia="es-ES"/>
        </w:rPr>
      </w:pPr>
    </w:p>
    <w:p w:rsidR="00CF6A99" w:rsidRPr="00A4680C" w:rsidRDefault="00CF6A99" w:rsidP="00E0382D">
      <w:pPr>
        <w:pStyle w:val="Texto"/>
        <w:spacing w:after="120"/>
        <w:ind w:firstLine="0"/>
        <w:rPr>
          <w:b/>
          <w:szCs w:val="18"/>
        </w:rPr>
      </w:pPr>
    </w:p>
    <w:sectPr w:rsidR="00CF6A99" w:rsidRPr="00A4680C" w:rsidSect="00184BC1">
      <w:headerReference w:type="default" r:id="rId32"/>
      <w:footerReference w:type="default" r:id="rId33"/>
      <w:pgSz w:w="12240" w:h="15840"/>
      <w:pgMar w:top="44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0E" w:rsidRDefault="0018130E" w:rsidP="00CF6A99">
      <w:pPr>
        <w:spacing w:after="0" w:line="240" w:lineRule="auto"/>
      </w:pPr>
      <w:r>
        <w:separator/>
      </w:r>
    </w:p>
  </w:endnote>
  <w:endnote w:type="continuationSeparator" w:id="0">
    <w:p w:rsidR="0018130E" w:rsidRDefault="0018130E"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54039"/>
      <w:docPartObj>
        <w:docPartGallery w:val="Page Numbers (Bottom of Page)"/>
        <w:docPartUnique/>
      </w:docPartObj>
    </w:sdtPr>
    <w:sdtEndPr/>
    <w:sdtContent>
      <w:p w:rsidR="00A1098C" w:rsidRDefault="00A1098C">
        <w:pPr>
          <w:pStyle w:val="Piedepgina"/>
          <w:jc w:val="right"/>
        </w:pPr>
        <w:r>
          <w:fldChar w:fldCharType="begin"/>
        </w:r>
        <w:r>
          <w:instrText>PAGE   \* MERGEFORMAT</w:instrText>
        </w:r>
        <w:r>
          <w:fldChar w:fldCharType="separate"/>
        </w:r>
        <w:r w:rsidR="009C0AAC" w:rsidRPr="009C0AAC">
          <w:rPr>
            <w:noProof/>
            <w:lang w:val="es-ES"/>
          </w:rPr>
          <w:t>29</w:t>
        </w:r>
        <w:r>
          <w:fldChar w:fldCharType="end"/>
        </w:r>
      </w:p>
    </w:sdtContent>
  </w:sdt>
  <w:p w:rsidR="00A1098C" w:rsidRDefault="00A109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0E" w:rsidRDefault="0018130E" w:rsidP="00CF6A99">
      <w:pPr>
        <w:spacing w:after="0" w:line="240" w:lineRule="auto"/>
      </w:pPr>
      <w:r>
        <w:separator/>
      </w:r>
    </w:p>
  </w:footnote>
  <w:footnote w:type="continuationSeparator" w:id="0">
    <w:p w:rsidR="0018130E" w:rsidRDefault="0018130E"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8C" w:rsidRDefault="00A1098C" w:rsidP="00184BC1">
    <w:pPr>
      <w:pStyle w:val="Encabezado"/>
      <w:jc w:val="center"/>
    </w:pPr>
    <w:r>
      <w:rPr>
        <w:noProof/>
        <w:lang w:eastAsia="es-MX"/>
      </w:rPr>
      <w:drawing>
        <wp:inline distT="0" distB="0" distL="0" distR="0" wp14:anchorId="34948A2E" wp14:editId="4185E2B9">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02" cy="1187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399"/>
    <w:multiLevelType w:val="hybridMultilevel"/>
    <w:tmpl w:val="4718CFD8"/>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3E8554A"/>
    <w:multiLevelType w:val="hybridMultilevel"/>
    <w:tmpl w:val="8A767B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B680E42"/>
    <w:multiLevelType w:val="multilevel"/>
    <w:tmpl w:val="69241406"/>
    <w:lvl w:ilvl="0">
      <w:start w:val="1"/>
      <w:numFmt w:val="decimal"/>
      <w:lvlText w:val="%1."/>
      <w:lvlJc w:val="left"/>
      <w:pPr>
        <w:ind w:left="-218" w:firstLine="360"/>
      </w:pPr>
    </w:lvl>
    <w:lvl w:ilvl="1">
      <w:start w:val="1"/>
      <w:numFmt w:val="lowerLetter"/>
      <w:lvlText w:val="%2."/>
      <w:lvlJc w:val="left"/>
      <w:pPr>
        <w:ind w:left="502" w:firstLine="1080"/>
      </w:pPr>
    </w:lvl>
    <w:lvl w:ilvl="2">
      <w:start w:val="1"/>
      <w:numFmt w:val="lowerRoman"/>
      <w:lvlText w:val="%3."/>
      <w:lvlJc w:val="right"/>
      <w:pPr>
        <w:ind w:left="1222" w:firstLine="1980"/>
      </w:pPr>
    </w:lvl>
    <w:lvl w:ilvl="3">
      <w:start w:val="1"/>
      <w:numFmt w:val="decimal"/>
      <w:lvlText w:val="%4."/>
      <w:lvlJc w:val="left"/>
      <w:pPr>
        <w:ind w:left="1942" w:firstLine="2520"/>
      </w:pPr>
    </w:lvl>
    <w:lvl w:ilvl="4">
      <w:start w:val="1"/>
      <w:numFmt w:val="lowerLetter"/>
      <w:lvlText w:val="%5."/>
      <w:lvlJc w:val="left"/>
      <w:pPr>
        <w:ind w:left="2662" w:firstLine="3240"/>
      </w:pPr>
    </w:lvl>
    <w:lvl w:ilvl="5">
      <w:start w:val="1"/>
      <w:numFmt w:val="lowerRoman"/>
      <w:lvlText w:val="%6."/>
      <w:lvlJc w:val="right"/>
      <w:pPr>
        <w:ind w:left="3382" w:firstLine="4140"/>
      </w:pPr>
    </w:lvl>
    <w:lvl w:ilvl="6">
      <w:start w:val="1"/>
      <w:numFmt w:val="decimal"/>
      <w:lvlText w:val="%7."/>
      <w:lvlJc w:val="left"/>
      <w:pPr>
        <w:ind w:left="4102" w:firstLine="4680"/>
      </w:pPr>
    </w:lvl>
    <w:lvl w:ilvl="7">
      <w:start w:val="1"/>
      <w:numFmt w:val="lowerLetter"/>
      <w:lvlText w:val="%8."/>
      <w:lvlJc w:val="left"/>
      <w:pPr>
        <w:ind w:left="4822" w:firstLine="5400"/>
      </w:pPr>
    </w:lvl>
    <w:lvl w:ilvl="8">
      <w:start w:val="1"/>
      <w:numFmt w:val="lowerRoman"/>
      <w:lvlText w:val="%9."/>
      <w:lvlJc w:val="right"/>
      <w:pPr>
        <w:ind w:left="5542" w:firstLine="6300"/>
      </w:pPr>
    </w:lvl>
  </w:abstractNum>
  <w:abstractNum w:abstractNumId="4" w15:restartNumberingAfterBreak="0">
    <w:nsid w:val="1D767A5C"/>
    <w:multiLevelType w:val="hybridMultilevel"/>
    <w:tmpl w:val="EBA83FC4"/>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8C4322C"/>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4D2FEB"/>
    <w:multiLevelType w:val="hybridMultilevel"/>
    <w:tmpl w:val="16CCDD56"/>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C456611"/>
    <w:multiLevelType w:val="hybridMultilevel"/>
    <w:tmpl w:val="D5C43EC6"/>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D3D11F0"/>
    <w:multiLevelType w:val="hybridMultilevel"/>
    <w:tmpl w:val="A3F68C78"/>
    <w:lvl w:ilvl="0" w:tplc="080A0009">
      <w:start w:val="1"/>
      <w:numFmt w:val="bullet"/>
      <w:lvlText w:val=""/>
      <w:lvlJc w:val="left"/>
      <w:pPr>
        <w:ind w:left="1068" w:hanging="360"/>
      </w:pPr>
      <w:rPr>
        <w:rFonts w:ascii="Wingdings" w:hAnsi="Wingdings" w:hint="default"/>
        <w:sz w:val="22"/>
        <w:szCs w:val="22"/>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42EF1553"/>
    <w:multiLevelType w:val="hybridMultilevel"/>
    <w:tmpl w:val="9BBC2C3A"/>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01D4F"/>
    <w:multiLevelType w:val="hybridMultilevel"/>
    <w:tmpl w:val="40B2680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50C42DF4"/>
    <w:multiLevelType w:val="hybridMultilevel"/>
    <w:tmpl w:val="645209BC"/>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5B627B"/>
    <w:multiLevelType w:val="hybridMultilevel"/>
    <w:tmpl w:val="A89626C0"/>
    <w:lvl w:ilvl="0" w:tplc="7CC03C94">
      <w:start w:val="1"/>
      <w:numFmt w:val="decimal"/>
      <w:lvlText w:val="%1."/>
      <w:lvlJc w:val="left"/>
      <w:pPr>
        <w:ind w:left="2421" w:hanging="360"/>
      </w:pPr>
      <w:rPr>
        <w:rFonts w:hint="default"/>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 w15:restartNumberingAfterBreak="0">
    <w:nsid w:val="55C11996"/>
    <w:multiLevelType w:val="hybridMultilevel"/>
    <w:tmpl w:val="50624078"/>
    <w:lvl w:ilvl="0" w:tplc="3304933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DD75651"/>
    <w:multiLevelType w:val="hybridMultilevel"/>
    <w:tmpl w:val="3BC2FBE8"/>
    <w:lvl w:ilvl="0" w:tplc="080A0009">
      <w:start w:val="1"/>
      <w:numFmt w:val="bullet"/>
      <w:lvlText w:val=""/>
      <w:lvlJc w:val="left"/>
      <w:pPr>
        <w:ind w:left="1440" w:hanging="360"/>
      </w:pPr>
      <w:rPr>
        <w:rFonts w:ascii="Wingdings" w:hAnsi="Wingdings" w:hint="default"/>
        <w:sz w:val="22"/>
        <w:szCs w:val="2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2FC16AC"/>
    <w:multiLevelType w:val="multilevel"/>
    <w:tmpl w:val="E3E461A4"/>
    <w:lvl w:ilvl="0">
      <w:start w:val="1"/>
      <w:numFmt w:val="bullet"/>
      <w:lvlText w:val=""/>
      <w:lvlJc w:val="left"/>
      <w:pPr>
        <w:ind w:left="1800" w:firstLine="360"/>
      </w:pPr>
      <w:rPr>
        <w:rFonts w:ascii="Symbol" w:hAnsi="Symbol" w:hint="default"/>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abstractNum w:abstractNumId="19" w15:restartNumberingAfterBreak="0">
    <w:nsid w:val="6978678B"/>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2005E"/>
    <w:multiLevelType w:val="hybridMultilevel"/>
    <w:tmpl w:val="7C22C7D6"/>
    <w:lvl w:ilvl="0" w:tplc="080A0009">
      <w:start w:val="1"/>
      <w:numFmt w:val="bullet"/>
      <w:lvlText w:val=""/>
      <w:lvlJc w:val="left"/>
      <w:pPr>
        <w:ind w:left="1068" w:hanging="360"/>
      </w:pPr>
      <w:rPr>
        <w:rFonts w:ascii="Wingdings" w:hAnsi="Wingding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6"/>
  </w:num>
  <w:num w:numId="3">
    <w:abstractNumId w:val="7"/>
  </w:num>
  <w:num w:numId="4">
    <w:abstractNumId w:val="4"/>
  </w:num>
  <w:num w:numId="5">
    <w:abstractNumId w:val="10"/>
  </w:num>
  <w:num w:numId="6">
    <w:abstractNumId w:val="19"/>
  </w:num>
  <w:num w:numId="7">
    <w:abstractNumId w:val="22"/>
  </w:num>
  <w:num w:numId="8">
    <w:abstractNumId w:val="0"/>
  </w:num>
  <w:num w:numId="9">
    <w:abstractNumId w:val="12"/>
  </w:num>
  <w:num w:numId="10">
    <w:abstractNumId w:val="8"/>
  </w:num>
  <w:num w:numId="11">
    <w:abstractNumId w:val="5"/>
  </w:num>
  <w:num w:numId="12">
    <w:abstractNumId w:val="15"/>
  </w:num>
  <w:num w:numId="13">
    <w:abstractNumId w:val="9"/>
  </w:num>
  <w:num w:numId="14">
    <w:abstractNumId w:val="17"/>
  </w:num>
  <w:num w:numId="15">
    <w:abstractNumId w:val="14"/>
  </w:num>
  <w:num w:numId="16">
    <w:abstractNumId w:val="2"/>
  </w:num>
  <w:num w:numId="17">
    <w:abstractNumId w:val="3"/>
  </w:num>
  <w:num w:numId="18">
    <w:abstractNumId w:val="18"/>
  </w:num>
  <w:num w:numId="19">
    <w:abstractNumId w:val="1"/>
  </w:num>
  <w:num w:numId="20">
    <w:abstractNumId w:val="21"/>
  </w:num>
  <w:num w:numId="21">
    <w:abstractNumId w:val="2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99"/>
    <w:rsid w:val="00011253"/>
    <w:rsid w:val="000116AA"/>
    <w:rsid w:val="00013263"/>
    <w:rsid w:val="00017B51"/>
    <w:rsid w:val="00031E37"/>
    <w:rsid w:val="000400D2"/>
    <w:rsid w:val="00043738"/>
    <w:rsid w:val="00044792"/>
    <w:rsid w:val="0004539B"/>
    <w:rsid w:val="000458D4"/>
    <w:rsid w:val="00065E55"/>
    <w:rsid w:val="00081A93"/>
    <w:rsid w:val="00090485"/>
    <w:rsid w:val="000A5731"/>
    <w:rsid w:val="000A5B24"/>
    <w:rsid w:val="000A6D78"/>
    <w:rsid w:val="000D5A91"/>
    <w:rsid w:val="000E3830"/>
    <w:rsid w:val="000E64E0"/>
    <w:rsid w:val="000F068C"/>
    <w:rsid w:val="00106E3C"/>
    <w:rsid w:val="001075D7"/>
    <w:rsid w:val="00111CEC"/>
    <w:rsid w:val="001469BC"/>
    <w:rsid w:val="00147167"/>
    <w:rsid w:val="00162799"/>
    <w:rsid w:val="00162978"/>
    <w:rsid w:val="00166C46"/>
    <w:rsid w:val="0016775D"/>
    <w:rsid w:val="0017072B"/>
    <w:rsid w:val="0018130E"/>
    <w:rsid w:val="00184BC1"/>
    <w:rsid w:val="00184C8F"/>
    <w:rsid w:val="00193ECF"/>
    <w:rsid w:val="001A5103"/>
    <w:rsid w:val="001B0F81"/>
    <w:rsid w:val="001B23D9"/>
    <w:rsid w:val="001C7371"/>
    <w:rsid w:val="001D43CD"/>
    <w:rsid w:val="001D4764"/>
    <w:rsid w:val="001F16C3"/>
    <w:rsid w:val="00214233"/>
    <w:rsid w:val="00222915"/>
    <w:rsid w:val="002231DE"/>
    <w:rsid w:val="0022452D"/>
    <w:rsid w:val="00225B79"/>
    <w:rsid w:val="00236B1F"/>
    <w:rsid w:val="00241362"/>
    <w:rsid w:val="00242F67"/>
    <w:rsid w:val="0025438F"/>
    <w:rsid w:val="00257D16"/>
    <w:rsid w:val="00261E66"/>
    <w:rsid w:val="002623ED"/>
    <w:rsid w:val="00264864"/>
    <w:rsid w:val="00272153"/>
    <w:rsid w:val="00274DBB"/>
    <w:rsid w:val="00277923"/>
    <w:rsid w:val="00282A7A"/>
    <w:rsid w:val="0029376D"/>
    <w:rsid w:val="00297271"/>
    <w:rsid w:val="002A1F40"/>
    <w:rsid w:val="002A23DB"/>
    <w:rsid w:val="002A2733"/>
    <w:rsid w:val="002A78F5"/>
    <w:rsid w:val="002B1FF2"/>
    <w:rsid w:val="002B6D2A"/>
    <w:rsid w:val="002C0FD9"/>
    <w:rsid w:val="002C4A18"/>
    <w:rsid w:val="002C5230"/>
    <w:rsid w:val="002D1751"/>
    <w:rsid w:val="00305980"/>
    <w:rsid w:val="003135FA"/>
    <w:rsid w:val="00314614"/>
    <w:rsid w:val="00321551"/>
    <w:rsid w:val="00327B3C"/>
    <w:rsid w:val="00335F6C"/>
    <w:rsid w:val="00347598"/>
    <w:rsid w:val="003679EC"/>
    <w:rsid w:val="003718B0"/>
    <w:rsid w:val="00373A4E"/>
    <w:rsid w:val="003755FD"/>
    <w:rsid w:val="00375669"/>
    <w:rsid w:val="00376341"/>
    <w:rsid w:val="003868D4"/>
    <w:rsid w:val="003A240F"/>
    <w:rsid w:val="003A26D4"/>
    <w:rsid w:val="003A2F7C"/>
    <w:rsid w:val="003D31FD"/>
    <w:rsid w:val="003D7153"/>
    <w:rsid w:val="003E0B25"/>
    <w:rsid w:val="003E4D3C"/>
    <w:rsid w:val="003F73C0"/>
    <w:rsid w:val="00400EB6"/>
    <w:rsid w:val="00405623"/>
    <w:rsid w:val="00432DE7"/>
    <w:rsid w:val="004342DA"/>
    <w:rsid w:val="00435C06"/>
    <w:rsid w:val="004445C8"/>
    <w:rsid w:val="004451E4"/>
    <w:rsid w:val="00445A15"/>
    <w:rsid w:val="00446BFF"/>
    <w:rsid w:val="0045159A"/>
    <w:rsid w:val="00452006"/>
    <w:rsid w:val="004576B4"/>
    <w:rsid w:val="00460CA9"/>
    <w:rsid w:val="00464AA4"/>
    <w:rsid w:val="00473FA3"/>
    <w:rsid w:val="00476DB9"/>
    <w:rsid w:val="00493E60"/>
    <w:rsid w:val="004A3107"/>
    <w:rsid w:val="004A51AB"/>
    <w:rsid w:val="004B2192"/>
    <w:rsid w:val="004C4CB8"/>
    <w:rsid w:val="004F14A0"/>
    <w:rsid w:val="00512D0D"/>
    <w:rsid w:val="00514DC8"/>
    <w:rsid w:val="0051510E"/>
    <w:rsid w:val="005164D0"/>
    <w:rsid w:val="005204E8"/>
    <w:rsid w:val="005330B5"/>
    <w:rsid w:val="00535CA6"/>
    <w:rsid w:val="00540B15"/>
    <w:rsid w:val="00545E7E"/>
    <w:rsid w:val="00554417"/>
    <w:rsid w:val="00565DFB"/>
    <w:rsid w:val="00582850"/>
    <w:rsid w:val="0059147F"/>
    <w:rsid w:val="005B0846"/>
    <w:rsid w:val="005B1B1D"/>
    <w:rsid w:val="005B4D16"/>
    <w:rsid w:val="005C63E2"/>
    <w:rsid w:val="005C7CAC"/>
    <w:rsid w:val="005D768E"/>
    <w:rsid w:val="005E7FD2"/>
    <w:rsid w:val="00605D3D"/>
    <w:rsid w:val="00612A62"/>
    <w:rsid w:val="0066134C"/>
    <w:rsid w:val="00662A45"/>
    <w:rsid w:val="006641AF"/>
    <w:rsid w:val="00664F77"/>
    <w:rsid w:val="00665F76"/>
    <w:rsid w:val="00676FF3"/>
    <w:rsid w:val="006870EC"/>
    <w:rsid w:val="00697E7D"/>
    <w:rsid w:val="006B20ED"/>
    <w:rsid w:val="006B4FEE"/>
    <w:rsid w:val="006C0769"/>
    <w:rsid w:val="006C1C11"/>
    <w:rsid w:val="006C20FE"/>
    <w:rsid w:val="006C48FD"/>
    <w:rsid w:val="006D22F3"/>
    <w:rsid w:val="006E15FA"/>
    <w:rsid w:val="006F2033"/>
    <w:rsid w:val="00706DF9"/>
    <w:rsid w:val="007248B5"/>
    <w:rsid w:val="00724CA5"/>
    <w:rsid w:val="00727DA6"/>
    <w:rsid w:val="00730F29"/>
    <w:rsid w:val="00734F0C"/>
    <w:rsid w:val="00750AF6"/>
    <w:rsid w:val="007556CC"/>
    <w:rsid w:val="007658D6"/>
    <w:rsid w:val="007760E9"/>
    <w:rsid w:val="007800D7"/>
    <w:rsid w:val="00782A5D"/>
    <w:rsid w:val="00783261"/>
    <w:rsid w:val="007858BF"/>
    <w:rsid w:val="007870E6"/>
    <w:rsid w:val="00790C73"/>
    <w:rsid w:val="00791B45"/>
    <w:rsid w:val="007926C5"/>
    <w:rsid w:val="007941B0"/>
    <w:rsid w:val="00795B5A"/>
    <w:rsid w:val="007A3925"/>
    <w:rsid w:val="007A61FD"/>
    <w:rsid w:val="007B7E01"/>
    <w:rsid w:val="007C5837"/>
    <w:rsid w:val="007C5FD7"/>
    <w:rsid w:val="007C7821"/>
    <w:rsid w:val="007D3356"/>
    <w:rsid w:val="007F042B"/>
    <w:rsid w:val="007F54F5"/>
    <w:rsid w:val="00815E97"/>
    <w:rsid w:val="00817CC7"/>
    <w:rsid w:val="0085369F"/>
    <w:rsid w:val="00855BD6"/>
    <w:rsid w:val="00864A0F"/>
    <w:rsid w:val="00871925"/>
    <w:rsid w:val="008838F3"/>
    <w:rsid w:val="00884BB4"/>
    <w:rsid w:val="00890986"/>
    <w:rsid w:val="008923A1"/>
    <w:rsid w:val="008B2008"/>
    <w:rsid w:val="008B7B44"/>
    <w:rsid w:val="008C324F"/>
    <w:rsid w:val="008D33C3"/>
    <w:rsid w:val="008E2AF8"/>
    <w:rsid w:val="008E7777"/>
    <w:rsid w:val="008F0191"/>
    <w:rsid w:val="008F11FD"/>
    <w:rsid w:val="00910EA0"/>
    <w:rsid w:val="00913D9A"/>
    <w:rsid w:val="00914B9C"/>
    <w:rsid w:val="009167D8"/>
    <w:rsid w:val="0091714F"/>
    <w:rsid w:val="0092746E"/>
    <w:rsid w:val="00927878"/>
    <w:rsid w:val="00931312"/>
    <w:rsid w:val="009329C7"/>
    <w:rsid w:val="00945258"/>
    <w:rsid w:val="00946FD1"/>
    <w:rsid w:val="009508B8"/>
    <w:rsid w:val="009603AB"/>
    <w:rsid w:val="00965A39"/>
    <w:rsid w:val="009719F7"/>
    <w:rsid w:val="009857D9"/>
    <w:rsid w:val="00990CC4"/>
    <w:rsid w:val="009A03E2"/>
    <w:rsid w:val="009B31E8"/>
    <w:rsid w:val="009B4693"/>
    <w:rsid w:val="009B7BCF"/>
    <w:rsid w:val="009C0074"/>
    <w:rsid w:val="009C0AAC"/>
    <w:rsid w:val="009C0F0B"/>
    <w:rsid w:val="009C23C1"/>
    <w:rsid w:val="009C2C19"/>
    <w:rsid w:val="009C54C9"/>
    <w:rsid w:val="009D2C22"/>
    <w:rsid w:val="009D432F"/>
    <w:rsid w:val="009E3D9F"/>
    <w:rsid w:val="009F13C9"/>
    <w:rsid w:val="00A076F0"/>
    <w:rsid w:val="00A1098C"/>
    <w:rsid w:val="00A15C99"/>
    <w:rsid w:val="00A2783D"/>
    <w:rsid w:val="00A30522"/>
    <w:rsid w:val="00A3377D"/>
    <w:rsid w:val="00A34AAB"/>
    <w:rsid w:val="00A352FB"/>
    <w:rsid w:val="00A36877"/>
    <w:rsid w:val="00A4431E"/>
    <w:rsid w:val="00A460A7"/>
    <w:rsid w:val="00A4680C"/>
    <w:rsid w:val="00A47281"/>
    <w:rsid w:val="00A51A35"/>
    <w:rsid w:val="00A65B56"/>
    <w:rsid w:val="00A7324D"/>
    <w:rsid w:val="00A7424F"/>
    <w:rsid w:val="00A747DC"/>
    <w:rsid w:val="00A75161"/>
    <w:rsid w:val="00A76A5B"/>
    <w:rsid w:val="00A77E34"/>
    <w:rsid w:val="00A86F62"/>
    <w:rsid w:val="00A927AC"/>
    <w:rsid w:val="00AA6927"/>
    <w:rsid w:val="00AB1925"/>
    <w:rsid w:val="00AC03E6"/>
    <w:rsid w:val="00AC0E29"/>
    <w:rsid w:val="00AC101F"/>
    <w:rsid w:val="00AC13E6"/>
    <w:rsid w:val="00AE0821"/>
    <w:rsid w:val="00AE5FD1"/>
    <w:rsid w:val="00AF0F5E"/>
    <w:rsid w:val="00AF5DA7"/>
    <w:rsid w:val="00B017F5"/>
    <w:rsid w:val="00B053FB"/>
    <w:rsid w:val="00B10442"/>
    <w:rsid w:val="00B20C83"/>
    <w:rsid w:val="00B234E1"/>
    <w:rsid w:val="00B407EE"/>
    <w:rsid w:val="00B41250"/>
    <w:rsid w:val="00B463B7"/>
    <w:rsid w:val="00B54A24"/>
    <w:rsid w:val="00B6600B"/>
    <w:rsid w:val="00B668FA"/>
    <w:rsid w:val="00B7364E"/>
    <w:rsid w:val="00B7680B"/>
    <w:rsid w:val="00B814C8"/>
    <w:rsid w:val="00B822F0"/>
    <w:rsid w:val="00B8451A"/>
    <w:rsid w:val="00B85356"/>
    <w:rsid w:val="00B8624A"/>
    <w:rsid w:val="00B877E3"/>
    <w:rsid w:val="00BA1A50"/>
    <w:rsid w:val="00BA5D13"/>
    <w:rsid w:val="00BB226E"/>
    <w:rsid w:val="00BB7750"/>
    <w:rsid w:val="00BC0003"/>
    <w:rsid w:val="00BC1BE1"/>
    <w:rsid w:val="00BC1E68"/>
    <w:rsid w:val="00BC1F48"/>
    <w:rsid w:val="00BC56A1"/>
    <w:rsid w:val="00BC62B6"/>
    <w:rsid w:val="00BC649A"/>
    <w:rsid w:val="00BD444B"/>
    <w:rsid w:val="00BD54DE"/>
    <w:rsid w:val="00BD6ED9"/>
    <w:rsid w:val="00BE17EF"/>
    <w:rsid w:val="00BE1869"/>
    <w:rsid w:val="00BF4B2C"/>
    <w:rsid w:val="00BF6051"/>
    <w:rsid w:val="00C10134"/>
    <w:rsid w:val="00C11678"/>
    <w:rsid w:val="00C440D6"/>
    <w:rsid w:val="00C46417"/>
    <w:rsid w:val="00C862E3"/>
    <w:rsid w:val="00C941D5"/>
    <w:rsid w:val="00C9657D"/>
    <w:rsid w:val="00CA2E07"/>
    <w:rsid w:val="00CA4E37"/>
    <w:rsid w:val="00CC07EA"/>
    <w:rsid w:val="00CD5622"/>
    <w:rsid w:val="00CF40D3"/>
    <w:rsid w:val="00CF6A99"/>
    <w:rsid w:val="00D013F6"/>
    <w:rsid w:val="00D03DAB"/>
    <w:rsid w:val="00D041F8"/>
    <w:rsid w:val="00D10502"/>
    <w:rsid w:val="00D1169C"/>
    <w:rsid w:val="00D147FE"/>
    <w:rsid w:val="00D17F6A"/>
    <w:rsid w:val="00D201D4"/>
    <w:rsid w:val="00D230BC"/>
    <w:rsid w:val="00D23686"/>
    <w:rsid w:val="00D44CDA"/>
    <w:rsid w:val="00D61984"/>
    <w:rsid w:val="00D63265"/>
    <w:rsid w:val="00D67879"/>
    <w:rsid w:val="00D72314"/>
    <w:rsid w:val="00D7714F"/>
    <w:rsid w:val="00D773C7"/>
    <w:rsid w:val="00D82977"/>
    <w:rsid w:val="00D8784B"/>
    <w:rsid w:val="00D947B9"/>
    <w:rsid w:val="00D9511F"/>
    <w:rsid w:val="00D95CD5"/>
    <w:rsid w:val="00DA2A3C"/>
    <w:rsid w:val="00DA36DF"/>
    <w:rsid w:val="00DA4236"/>
    <w:rsid w:val="00DB177C"/>
    <w:rsid w:val="00DC108B"/>
    <w:rsid w:val="00DC4FDB"/>
    <w:rsid w:val="00DD2228"/>
    <w:rsid w:val="00DD4042"/>
    <w:rsid w:val="00DE559D"/>
    <w:rsid w:val="00DE7B0E"/>
    <w:rsid w:val="00E0382D"/>
    <w:rsid w:val="00E11594"/>
    <w:rsid w:val="00E12EB7"/>
    <w:rsid w:val="00E178DA"/>
    <w:rsid w:val="00E27911"/>
    <w:rsid w:val="00E5389F"/>
    <w:rsid w:val="00E555B6"/>
    <w:rsid w:val="00E66333"/>
    <w:rsid w:val="00E71201"/>
    <w:rsid w:val="00E8131A"/>
    <w:rsid w:val="00E81363"/>
    <w:rsid w:val="00E904BB"/>
    <w:rsid w:val="00EA67DE"/>
    <w:rsid w:val="00EB0D64"/>
    <w:rsid w:val="00EB5FC0"/>
    <w:rsid w:val="00EC0F98"/>
    <w:rsid w:val="00EC777F"/>
    <w:rsid w:val="00ED596A"/>
    <w:rsid w:val="00EF0051"/>
    <w:rsid w:val="00EF50FC"/>
    <w:rsid w:val="00EF6381"/>
    <w:rsid w:val="00F10C5A"/>
    <w:rsid w:val="00F11A27"/>
    <w:rsid w:val="00F125F0"/>
    <w:rsid w:val="00F15DA8"/>
    <w:rsid w:val="00F21CBE"/>
    <w:rsid w:val="00F3638B"/>
    <w:rsid w:val="00F53266"/>
    <w:rsid w:val="00F6256A"/>
    <w:rsid w:val="00F64043"/>
    <w:rsid w:val="00F65A64"/>
    <w:rsid w:val="00F81254"/>
    <w:rsid w:val="00FA35CB"/>
    <w:rsid w:val="00FA3C5D"/>
    <w:rsid w:val="00FA5D7C"/>
    <w:rsid w:val="00FB68DD"/>
    <w:rsid w:val="00FD2815"/>
    <w:rsid w:val="00FD30E2"/>
    <w:rsid w:val="00FE402B"/>
    <w:rsid w:val="00FF0305"/>
    <w:rsid w:val="00FF1029"/>
    <w:rsid w:val="00FF1A6C"/>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6C4ED"/>
  <w15:docId w15:val="{F0F7232E-EB73-4916-ABA5-18AB0D71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Ind w:w="0" w:type="nil"/>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20089548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476331837">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1751079392">
      <w:bodyDiv w:val="1"/>
      <w:marLeft w:val="0"/>
      <w:marRight w:val="0"/>
      <w:marTop w:val="0"/>
      <w:marBottom w:val="0"/>
      <w:divBdr>
        <w:top w:val="none" w:sz="0" w:space="0" w:color="auto"/>
        <w:left w:val="none" w:sz="0" w:space="0" w:color="auto"/>
        <w:bottom w:val="none" w:sz="0" w:space="0" w:color="auto"/>
        <w:right w:val="none" w:sz="0" w:space="0" w:color="auto"/>
      </w:divBdr>
    </w:div>
    <w:div w:id="2067072599">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2EA3-F5FB-447F-9F73-7C902D65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29</Pages>
  <Words>4743</Words>
  <Characters>28270</Characters>
  <Application>Microsoft Office Word</Application>
  <DocSecurity>0</DocSecurity>
  <Lines>1285</Lines>
  <Paragraphs>660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Chale Cuytun Gilberto</cp:lastModifiedBy>
  <cp:revision>23</cp:revision>
  <cp:lastPrinted>2022-10-10T14:11:00Z</cp:lastPrinted>
  <dcterms:created xsi:type="dcterms:W3CDTF">2021-10-19T16:36:00Z</dcterms:created>
  <dcterms:modified xsi:type="dcterms:W3CDTF">2022-10-13T15:24:00Z</dcterms:modified>
</cp:coreProperties>
</file>