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03CCB" w14:textId="27117D02" w:rsidR="00C4149D" w:rsidRPr="009D734A" w:rsidRDefault="00C4149D" w:rsidP="00C4149D">
      <w:pPr>
        <w:jc w:val="center"/>
        <w:rPr>
          <w:rFonts w:ascii="Century Gothic" w:eastAsia="Cambria" w:hAnsi="Century Gothic" w:cs="Arial"/>
          <w:b/>
          <w:sz w:val="21"/>
          <w:szCs w:val="21"/>
          <w:u w:val="single"/>
        </w:rPr>
      </w:pPr>
      <w:r w:rsidRPr="009D734A">
        <w:rPr>
          <w:rFonts w:ascii="Century Gothic" w:eastAsia="Cambria" w:hAnsi="Century Gothic" w:cs="Arial"/>
          <w:b/>
          <w:sz w:val="21"/>
          <w:szCs w:val="21"/>
          <w:u w:val="single"/>
        </w:rPr>
        <w:t>INFORME SOBRE PASIVOS CONTINGENTES</w:t>
      </w:r>
      <w:r w:rsidR="0085237D">
        <w:rPr>
          <w:rFonts w:ascii="Century Gothic" w:eastAsia="Cambria" w:hAnsi="Century Gothic" w:cs="Arial"/>
          <w:b/>
          <w:sz w:val="21"/>
          <w:szCs w:val="21"/>
          <w:u w:val="single"/>
        </w:rPr>
        <w:t xml:space="preserve"> AL 30 DE SEPTIEMBRE 2022</w:t>
      </w:r>
    </w:p>
    <w:p w14:paraId="6C791EFF" w14:textId="77777777" w:rsidR="00C4149D" w:rsidRPr="009D734A" w:rsidRDefault="00C4149D" w:rsidP="00C4149D">
      <w:pPr>
        <w:spacing w:line="213" w:lineRule="auto"/>
        <w:ind w:firstLine="708"/>
        <w:jc w:val="both"/>
        <w:rPr>
          <w:rFonts w:ascii="Century Gothic" w:hAnsi="Century Gothic" w:cs="Arial"/>
          <w:sz w:val="21"/>
          <w:szCs w:val="21"/>
          <w:lang w:val="es-MX" w:eastAsia="es-ES"/>
        </w:rPr>
      </w:pPr>
    </w:p>
    <w:p w14:paraId="7DA70203" w14:textId="33CDA479" w:rsidR="00C4149D" w:rsidRPr="009D734A" w:rsidRDefault="00C4149D" w:rsidP="00C4149D">
      <w:pPr>
        <w:spacing w:line="213" w:lineRule="auto"/>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732B908B" w14:textId="77777777" w:rsidR="00311650" w:rsidRPr="009D734A" w:rsidRDefault="00311650" w:rsidP="00C4149D">
      <w:pPr>
        <w:spacing w:line="213" w:lineRule="auto"/>
        <w:jc w:val="both"/>
        <w:rPr>
          <w:rFonts w:ascii="Century Gothic" w:hAnsi="Century Gothic" w:cs="Arial"/>
          <w:sz w:val="21"/>
          <w:szCs w:val="21"/>
          <w:lang w:val="es-MX" w:eastAsia="es-ES"/>
        </w:rPr>
      </w:pPr>
    </w:p>
    <w:p w14:paraId="0B052428" w14:textId="16CF88EE" w:rsidR="00C4149D" w:rsidRPr="009D734A" w:rsidRDefault="00C4149D" w:rsidP="00C4149D">
      <w:pPr>
        <w:spacing w:before="82" w:line="250" w:lineRule="exact"/>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Lo anterior, de conformidad con lo establecido en el capítulo VII, numeral </w:t>
      </w:r>
      <w:r w:rsidR="000C7FCC" w:rsidRPr="009D734A">
        <w:rPr>
          <w:rFonts w:ascii="Century Gothic" w:hAnsi="Century Gothic" w:cs="Arial"/>
          <w:sz w:val="21"/>
          <w:szCs w:val="21"/>
          <w:lang w:val="es-MX" w:eastAsia="es-ES"/>
        </w:rPr>
        <w:t>I</w:t>
      </w:r>
      <w:r w:rsidR="009058F7">
        <w:rPr>
          <w:rFonts w:ascii="Century Gothic" w:hAnsi="Century Gothic" w:cs="Arial"/>
          <w:sz w:val="21"/>
          <w:szCs w:val="21"/>
          <w:lang w:val="es-MX" w:eastAsia="es-ES"/>
        </w:rPr>
        <w:t>I</w:t>
      </w:r>
      <w:r w:rsidRPr="009D734A">
        <w:rPr>
          <w:rFonts w:ascii="Century Gothic" w:hAnsi="Century Gothic" w:cs="Arial"/>
          <w:sz w:val="21"/>
          <w:szCs w:val="21"/>
          <w:lang w:val="es-MX" w:eastAsia="es-ES"/>
        </w:rPr>
        <w:t xml:space="preserve">, inciso </w:t>
      </w:r>
      <w:r w:rsidR="001F0F1E" w:rsidRPr="009D734A">
        <w:rPr>
          <w:rFonts w:ascii="Century Gothic" w:hAnsi="Century Gothic" w:cs="Arial"/>
          <w:sz w:val="21"/>
          <w:szCs w:val="21"/>
          <w:lang w:val="es-MX" w:eastAsia="es-ES"/>
        </w:rPr>
        <w:t>h</w:t>
      </w:r>
      <w:r w:rsidRPr="009D734A">
        <w:rPr>
          <w:rFonts w:ascii="Century Gothic" w:hAnsi="Century Gothic" w:cs="Arial"/>
          <w:sz w:val="21"/>
          <w:szCs w:val="21"/>
          <w:lang w:val="es-MX" w:eastAsia="es-ES"/>
        </w:rPr>
        <w:t xml:space="preserve">) del Manual de Contabilidad Gubernamental emitido por el CONAC, donde se establece en términos generales que: </w:t>
      </w:r>
    </w:p>
    <w:p w14:paraId="5F48B7C5" w14:textId="77777777" w:rsidR="00C4149D" w:rsidRPr="009D734A" w:rsidRDefault="00C4149D" w:rsidP="00A07C22">
      <w:pPr>
        <w:spacing w:before="81" w:line="250" w:lineRule="exact"/>
        <w:ind w:left="993" w:right="758"/>
        <w:jc w:val="both"/>
        <w:rPr>
          <w:rFonts w:ascii="Century Gothic" w:hAnsi="Century Gothic" w:cs="Arial"/>
          <w:i/>
          <w:sz w:val="20"/>
          <w:szCs w:val="20"/>
          <w:lang w:val="es-MX" w:eastAsia="es-ES"/>
        </w:rPr>
      </w:pPr>
      <w:r w:rsidRPr="009D734A">
        <w:rPr>
          <w:rFonts w:ascii="Century Gothic" w:hAnsi="Century Gothic" w:cs="Arial"/>
          <w:i/>
          <w:sz w:val="20"/>
          <w:szCs w:val="20"/>
          <w:lang w:val="es-MX"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9D734A">
        <w:rPr>
          <w:rFonts w:ascii="Century Gothic" w:hAnsi="Century Gothic" w:cs="Arial"/>
          <w:sz w:val="20"/>
          <w:szCs w:val="20"/>
          <w:lang w:val="es-MX" w:eastAsia="es-ES"/>
        </w:rPr>
        <w:t xml:space="preserve">. </w:t>
      </w:r>
    </w:p>
    <w:p w14:paraId="03BEE4F9" w14:textId="77777777" w:rsidR="00C4149D" w:rsidRPr="009D734A" w:rsidRDefault="00C4149D" w:rsidP="00C4149D">
      <w:pPr>
        <w:spacing w:before="81" w:line="250" w:lineRule="exact"/>
        <w:ind w:firstLine="708"/>
        <w:jc w:val="both"/>
        <w:rPr>
          <w:rFonts w:ascii="Century Gothic" w:hAnsi="Century Gothic" w:cs="Arial"/>
          <w:sz w:val="21"/>
          <w:szCs w:val="21"/>
          <w:lang w:val="es-MX" w:eastAsia="es-ES"/>
        </w:rPr>
      </w:pPr>
    </w:p>
    <w:p w14:paraId="4D62E738" w14:textId="77777777" w:rsidR="00C4149D" w:rsidRPr="009D734A" w:rsidRDefault="00C4149D" w:rsidP="00C4149D">
      <w:pPr>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A la fecha en que se emite la presente existen los siguientes pasivos contingentes:</w:t>
      </w:r>
    </w:p>
    <w:p w14:paraId="664D231D" w14:textId="77777777" w:rsidR="00C4149D" w:rsidRPr="009D734A" w:rsidRDefault="00C4149D" w:rsidP="00C4149D">
      <w:pPr>
        <w:pStyle w:val="Sinespaciado"/>
        <w:jc w:val="both"/>
        <w:rPr>
          <w:rFonts w:ascii="Century Gothic" w:hAnsi="Century Gothic" w:cs="Arial"/>
          <w:sz w:val="21"/>
          <w:szCs w:val="21"/>
          <w:lang w:val="es-MX"/>
        </w:rPr>
      </w:pPr>
    </w:p>
    <w:p w14:paraId="3848EC39" w14:textId="10974150" w:rsidR="00E049C6" w:rsidRPr="009D734A" w:rsidRDefault="00E049C6" w:rsidP="00E049C6">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1.- Del </w:t>
      </w:r>
      <w:r w:rsidRPr="009D734A">
        <w:rPr>
          <w:rFonts w:ascii="Century Gothic" w:hAnsi="Century Gothic" w:cs="Arial"/>
          <w:sz w:val="21"/>
          <w:szCs w:val="21"/>
          <w:u w:val="single"/>
          <w:lang w:val="es-MX"/>
        </w:rPr>
        <w:t>Departamento</w:t>
      </w:r>
      <w:r w:rsidR="00893928" w:rsidRPr="009D734A">
        <w:rPr>
          <w:rFonts w:ascii="Century Gothic" w:hAnsi="Century Gothic" w:cs="Arial"/>
          <w:sz w:val="21"/>
          <w:szCs w:val="21"/>
          <w:u w:val="single"/>
          <w:lang w:val="es-MX"/>
        </w:rPr>
        <w:t xml:space="preserve"> de Asuntos </w:t>
      </w:r>
      <w:r w:rsidRPr="009D734A">
        <w:rPr>
          <w:rFonts w:ascii="Century Gothic" w:hAnsi="Century Gothic" w:cs="Arial"/>
          <w:sz w:val="21"/>
          <w:szCs w:val="21"/>
          <w:u w:val="single"/>
          <w:lang w:val="es-MX"/>
        </w:rPr>
        <w:t>Contencioso</w:t>
      </w:r>
      <w:r w:rsidR="00893928" w:rsidRPr="009D734A">
        <w:rPr>
          <w:rFonts w:ascii="Century Gothic" w:hAnsi="Century Gothic" w:cs="Arial"/>
          <w:sz w:val="21"/>
          <w:szCs w:val="21"/>
          <w:u w:val="single"/>
          <w:lang w:val="es-MX"/>
        </w:rPr>
        <w:t>s</w:t>
      </w:r>
      <w:r w:rsidRPr="009D734A">
        <w:rPr>
          <w:rFonts w:ascii="Century Gothic" w:hAnsi="Century Gothic" w:cs="Arial"/>
          <w:sz w:val="21"/>
          <w:szCs w:val="21"/>
          <w:u w:val="single"/>
          <w:lang w:val="es-MX"/>
        </w:rPr>
        <w:t xml:space="preserve"> de la Subdirección de Asuntos Jurídicos dependiente de la Dirección de Gobernación del H. Ayuntamiento de Mérida, Yucatán</w:t>
      </w:r>
      <w:r w:rsidRPr="009D734A">
        <w:rPr>
          <w:rFonts w:ascii="Century Gothic" w:hAnsi="Century Gothic" w:cs="Arial"/>
          <w:sz w:val="21"/>
          <w:szCs w:val="21"/>
          <w:lang w:val="es-MX"/>
        </w:rPr>
        <w:t>, se encuentran los siguientes:</w:t>
      </w:r>
    </w:p>
    <w:p w14:paraId="609B14A1" w14:textId="77777777" w:rsidR="009A67C0" w:rsidRPr="009D734A" w:rsidRDefault="009A67C0" w:rsidP="00E049C6">
      <w:pPr>
        <w:pStyle w:val="Sinespaciado"/>
        <w:jc w:val="both"/>
        <w:rPr>
          <w:rFonts w:ascii="Century Gothic" w:hAnsi="Century Gothic" w:cs="Arial"/>
          <w:sz w:val="21"/>
          <w:szCs w:val="21"/>
          <w:lang w:val="es-MX"/>
        </w:rPr>
      </w:pPr>
    </w:p>
    <w:p w14:paraId="49CCC564"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10,388/2001 (Juzgado Segundo Mercantil del Primer Departamento Judicial del Estado).</w:t>
      </w:r>
    </w:p>
    <w:p w14:paraId="4FBD667E" w14:textId="77777777" w:rsidR="00205791" w:rsidRPr="009D734A" w:rsidRDefault="00205791" w:rsidP="00205791">
      <w:pPr>
        <w:pStyle w:val="Sinespaciado"/>
        <w:jc w:val="both"/>
        <w:rPr>
          <w:rFonts w:ascii="Century Gothic" w:hAnsi="Century Gothic" w:cs="Arial"/>
          <w:sz w:val="21"/>
          <w:szCs w:val="21"/>
          <w:lang w:val="es-MX"/>
        </w:rPr>
      </w:pPr>
    </w:p>
    <w:p w14:paraId="3011CF75" w14:textId="77777777" w:rsidR="00205791" w:rsidRPr="009D734A" w:rsidRDefault="00205791" w:rsidP="00205791">
      <w:pPr>
        <w:pStyle w:val="Sinespaciado"/>
        <w:jc w:val="both"/>
        <w:rPr>
          <w:rFonts w:ascii="Century Gothic" w:hAnsi="Century Gothic" w:cs="Arial"/>
          <w:b/>
          <w:sz w:val="21"/>
          <w:szCs w:val="21"/>
          <w:lang w:val="es-MX"/>
        </w:rPr>
      </w:pPr>
      <w:r w:rsidRPr="009D734A">
        <w:rPr>
          <w:rFonts w:ascii="Century Gothic" w:hAnsi="Century Gothic" w:cs="Arial"/>
          <w:sz w:val="21"/>
          <w:szCs w:val="21"/>
          <w:lang w:val="es-MX"/>
        </w:rPr>
        <w:t xml:space="preserve">Juicio Ordinario Civil promovido por las Arq. Wendy Lorena Estrada Magaña y Adriana del Carmen Bobadilla </w:t>
      </w:r>
      <w:proofErr w:type="spellStart"/>
      <w:r w:rsidRPr="009D734A">
        <w:rPr>
          <w:rFonts w:ascii="Century Gothic" w:hAnsi="Century Gothic" w:cs="Arial"/>
          <w:sz w:val="21"/>
          <w:szCs w:val="21"/>
          <w:lang w:val="es-MX"/>
        </w:rPr>
        <w:t>Tugores</w:t>
      </w:r>
      <w:proofErr w:type="spellEnd"/>
      <w:r w:rsidRPr="009D734A">
        <w:rPr>
          <w:rFonts w:ascii="Century Gothic" w:hAnsi="Century Gothic" w:cs="Arial"/>
          <w:sz w:val="21"/>
          <w:szCs w:val="21"/>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9D734A" w:rsidRDefault="00205791" w:rsidP="00205791">
      <w:pPr>
        <w:pStyle w:val="Sinespaciado"/>
        <w:ind w:left="720"/>
        <w:jc w:val="both"/>
        <w:rPr>
          <w:rFonts w:ascii="Century Gothic" w:hAnsi="Century Gothic" w:cs="Arial"/>
          <w:sz w:val="21"/>
          <w:szCs w:val="21"/>
          <w:lang w:val="es-MX"/>
        </w:rPr>
      </w:pPr>
    </w:p>
    <w:p w14:paraId="4C3C059D" w14:textId="3C7249A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9D734A" w:rsidRDefault="00205791" w:rsidP="00205791">
      <w:pPr>
        <w:pStyle w:val="Sinespaciado"/>
        <w:jc w:val="both"/>
        <w:rPr>
          <w:rFonts w:ascii="Century Gothic" w:hAnsi="Century Gothic" w:cs="Arial"/>
          <w:sz w:val="21"/>
          <w:szCs w:val="21"/>
          <w:u w:val="single"/>
          <w:lang w:val="es-MX"/>
        </w:rPr>
      </w:pPr>
    </w:p>
    <w:p w14:paraId="4619B1A8" w14:textId="3A64DC6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9D734A" w:rsidRDefault="00205791" w:rsidP="00205791">
      <w:pPr>
        <w:pStyle w:val="Sinespaciado"/>
        <w:jc w:val="both"/>
        <w:rPr>
          <w:rFonts w:ascii="Century Gothic" w:hAnsi="Century Gothic" w:cs="Arial"/>
          <w:sz w:val="21"/>
          <w:szCs w:val="21"/>
          <w:lang w:val="es-MX"/>
        </w:rPr>
      </w:pPr>
    </w:p>
    <w:p w14:paraId="2C42D4A0"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la parte actora pretende la cantidad de $8,145,420.00 (Son: Ocho millones ciento cuarenta y cinco mil cuatrocientos veinte pesos 00/100 M.N.)  Equivalente al 15% de honorarios por utilidad, </w:t>
      </w:r>
      <w:r w:rsidRPr="009D734A">
        <w:rPr>
          <w:rFonts w:ascii="Century Gothic" w:hAnsi="Century Gothic" w:cs="Arial"/>
          <w:sz w:val="21"/>
          <w:szCs w:val="21"/>
          <w:lang w:val="es-MX"/>
        </w:rPr>
        <w:lastRenderedPageBreak/>
        <w:t>de conformidad al dictamen rendido por el perito de dicha parte actora, dictamen que no se encuentra ajustado a lo sentenciado por la Autoridad respectiva.</w:t>
      </w:r>
    </w:p>
    <w:p w14:paraId="1AE3DA4A" w14:textId="77777777" w:rsidR="00205791" w:rsidRPr="009D734A" w:rsidRDefault="00205791" w:rsidP="00205791">
      <w:pPr>
        <w:pStyle w:val="Sinespaciado"/>
        <w:jc w:val="both"/>
        <w:rPr>
          <w:rFonts w:ascii="Century Gothic" w:hAnsi="Century Gothic" w:cs="Arial"/>
          <w:b/>
          <w:sz w:val="21"/>
          <w:szCs w:val="21"/>
          <w:lang w:val="es-MX"/>
        </w:rPr>
      </w:pPr>
    </w:p>
    <w:p w14:paraId="323A0C65"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556/2011 (Juzgado Primero Civil del Primer Departamento Judicial del Estado)</w:t>
      </w:r>
    </w:p>
    <w:p w14:paraId="77FA4B6A" w14:textId="77777777" w:rsidR="00205791" w:rsidRPr="009D734A" w:rsidRDefault="00205791" w:rsidP="00205791">
      <w:pPr>
        <w:pStyle w:val="Sinespaciado"/>
        <w:jc w:val="both"/>
        <w:rPr>
          <w:rFonts w:ascii="Century Gothic" w:hAnsi="Century Gothic" w:cs="Arial"/>
          <w:sz w:val="21"/>
          <w:szCs w:val="21"/>
          <w:lang w:val="es-MX"/>
        </w:rPr>
      </w:pPr>
    </w:p>
    <w:p w14:paraId="582C21B5"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Sociedad Anónima de Capital Variable, del Ayuntamiento de Mérida, Yucatán, del Director del Departamento de Espectáculos de la Secretaría de Gobernación del Ayuntamiento de Mérida, Yucatán (sic).</w:t>
      </w:r>
    </w:p>
    <w:p w14:paraId="301614DE" w14:textId="77777777" w:rsidR="00205791" w:rsidRPr="009D734A" w:rsidRDefault="00205791" w:rsidP="00205791">
      <w:pPr>
        <w:pStyle w:val="Sinespaciado"/>
        <w:jc w:val="both"/>
        <w:rPr>
          <w:rFonts w:ascii="Century Gothic" w:hAnsi="Century Gothic" w:cs="Arial"/>
          <w:sz w:val="21"/>
          <w:szCs w:val="21"/>
          <w:u w:val="single"/>
          <w:lang w:val="es-MX"/>
        </w:rPr>
      </w:pPr>
    </w:p>
    <w:p w14:paraId="5A2B42A4" w14:textId="040AB2BC"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w:t>
      </w:r>
    </w:p>
    <w:p w14:paraId="48A87E0C" w14:textId="77777777" w:rsidR="00205791" w:rsidRPr="009D734A" w:rsidRDefault="00205791" w:rsidP="00205791">
      <w:pPr>
        <w:pStyle w:val="Sinespaciado"/>
        <w:jc w:val="both"/>
        <w:rPr>
          <w:rFonts w:ascii="Century Gothic" w:hAnsi="Century Gothic" w:cs="Arial"/>
          <w:sz w:val="21"/>
          <w:szCs w:val="21"/>
          <w:u w:val="single"/>
          <w:lang w:val="es-MX"/>
        </w:rPr>
      </w:pPr>
    </w:p>
    <w:p w14:paraId="02F85E7E" w14:textId="2ED8DA9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Desahogo de pruebas.</w:t>
      </w:r>
    </w:p>
    <w:p w14:paraId="0D4DA9DF" w14:textId="77777777" w:rsidR="00205791" w:rsidRPr="009D734A" w:rsidRDefault="00205791" w:rsidP="00205791">
      <w:pPr>
        <w:pStyle w:val="Sinespaciado"/>
        <w:jc w:val="both"/>
        <w:rPr>
          <w:rFonts w:ascii="Century Gothic" w:hAnsi="Century Gothic" w:cs="Arial"/>
          <w:sz w:val="21"/>
          <w:szCs w:val="21"/>
          <w:lang w:val="es-MX"/>
        </w:rPr>
      </w:pPr>
    </w:p>
    <w:p w14:paraId="777A75E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9D734A" w:rsidRDefault="00205791" w:rsidP="00205791">
      <w:pPr>
        <w:pStyle w:val="Sinespaciado"/>
        <w:jc w:val="both"/>
        <w:rPr>
          <w:rFonts w:ascii="Century Gothic" w:hAnsi="Century Gothic" w:cs="Arial"/>
          <w:b/>
          <w:sz w:val="21"/>
          <w:szCs w:val="21"/>
          <w:lang w:val="es-MX"/>
        </w:rPr>
      </w:pPr>
    </w:p>
    <w:p w14:paraId="2F05513F"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893/2013 (Juzgado Primero Civil del Primer Departamento Judicial del Estado)</w:t>
      </w:r>
    </w:p>
    <w:p w14:paraId="7A0A9B53" w14:textId="77777777" w:rsidR="00205791" w:rsidRPr="009D734A" w:rsidRDefault="00205791" w:rsidP="00205791">
      <w:pPr>
        <w:pStyle w:val="Sinespaciado"/>
        <w:jc w:val="both"/>
        <w:rPr>
          <w:rFonts w:ascii="Century Gothic" w:hAnsi="Century Gothic" w:cs="Arial"/>
          <w:sz w:val="21"/>
          <w:szCs w:val="21"/>
          <w:lang w:val="es-MX"/>
        </w:rPr>
      </w:pPr>
    </w:p>
    <w:p w14:paraId="03F5BD43"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9D734A" w:rsidRDefault="00205791" w:rsidP="00205791">
      <w:pPr>
        <w:pStyle w:val="Sinespaciado"/>
        <w:jc w:val="both"/>
        <w:rPr>
          <w:rFonts w:ascii="Century Gothic" w:hAnsi="Century Gothic" w:cs="Arial"/>
          <w:sz w:val="21"/>
          <w:szCs w:val="21"/>
          <w:lang w:val="es-MX"/>
        </w:rPr>
      </w:pPr>
    </w:p>
    <w:p w14:paraId="5C424541" w14:textId="2F515F94"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La indemnización en dinero aproximadamente por la cantidad de $10,000,000.00 (Son: Diez millones de pesos 00/100 M.N.) por el daño causado y ocasionado, consistente en todos y cada uno de los gastos y erogaciones que la parte actora tuvo que erogar como consecuencia directa </w:t>
      </w:r>
      <w:proofErr w:type="gramStart"/>
      <w:r w:rsidRPr="009D734A">
        <w:rPr>
          <w:rFonts w:ascii="Century Gothic" w:hAnsi="Century Gothic" w:cs="Arial"/>
          <w:sz w:val="21"/>
          <w:szCs w:val="21"/>
          <w:lang w:val="es-MX"/>
        </w:rPr>
        <w:t>y  necesaria</w:t>
      </w:r>
      <w:proofErr w:type="gramEnd"/>
      <w:r w:rsidRPr="009D734A">
        <w:rPr>
          <w:rFonts w:ascii="Century Gothic" w:hAnsi="Century Gothic" w:cs="Arial"/>
          <w:sz w:val="21"/>
          <w:szCs w:val="21"/>
          <w:lang w:val="es-MX"/>
        </w:rPr>
        <w:t xml:space="preserve"> para la defensa legal de sus intereses ante los actos de amenaza de clausura, llevados a cabo por los demandados.</w:t>
      </w:r>
    </w:p>
    <w:p w14:paraId="7567B496" w14:textId="77777777" w:rsidR="00205791" w:rsidRPr="009D734A" w:rsidRDefault="00205791" w:rsidP="00205791">
      <w:pPr>
        <w:pStyle w:val="Sinespaciado"/>
        <w:jc w:val="both"/>
        <w:rPr>
          <w:rFonts w:ascii="Century Gothic" w:hAnsi="Century Gothic" w:cs="Arial"/>
          <w:sz w:val="21"/>
          <w:szCs w:val="21"/>
          <w:u w:val="single"/>
          <w:lang w:val="es-MX"/>
        </w:rPr>
      </w:pPr>
    </w:p>
    <w:p w14:paraId="2687E6DD" w14:textId="76A4FFB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w:t>
      </w:r>
      <w:r w:rsidR="00D941DD" w:rsidRPr="009D734A">
        <w:rPr>
          <w:rFonts w:ascii="Century Gothic" w:hAnsi="Century Gothic" w:cs="Arial"/>
          <w:sz w:val="21"/>
          <w:szCs w:val="21"/>
          <w:lang w:val="es-MX"/>
        </w:rPr>
        <w:t xml:space="preserve"> -</w:t>
      </w:r>
      <w:r w:rsidRPr="009D734A">
        <w:rPr>
          <w:rFonts w:ascii="Century Gothic" w:hAnsi="Century Gothic" w:cs="Arial"/>
          <w:sz w:val="21"/>
          <w:szCs w:val="21"/>
          <w:lang w:val="es-MX"/>
        </w:rPr>
        <w:t xml:space="preserve"> Desahogo de pruebas.</w:t>
      </w:r>
    </w:p>
    <w:p w14:paraId="46B0763D" w14:textId="77777777" w:rsidR="00205791" w:rsidRPr="009D734A" w:rsidRDefault="00205791" w:rsidP="00205791">
      <w:pPr>
        <w:pStyle w:val="Sinespaciado"/>
        <w:jc w:val="both"/>
        <w:rPr>
          <w:rFonts w:ascii="Century Gothic" w:hAnsi="Century Gothic" w:cs="Arial"/>
          <w:sz w:val="21"/>
          <w:szCs w:val="21"/>
          <w:lang w:val="es-MX"/>
        </w:rPr>
      </w:pPr>
    </w:p>
    <w:p w14:paraId="7AB4E6B6"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la clausura realizada por la Dirección de Desarrollo Urbano se encuentra ajustada a la normatividad, aunado a que el estado de quiebra de la empresa actora obedece a </w:t>
      </w:r>
      <w:r w:rsidRPr="009D734A">
        <w:rPr>
          <w:rFonts w:ascii="Century Gothic" w:hAnsi="Century Gothic" w:cs="Arial"/>
          <w:sz w:val="21"/>
          <w:szCs w:val="21"/>
          <w:lang w:val="es-MX"/>
        </w:rPr>
        <w:lastRenderedPageBreak/>
        <w:t>actos ajenos al Ayuntamiento de Mérida, por lo que se considera poco probable la procedencia de la presente acción.</w:t>
      </w:r>
    </w:p>
    <w:p w14:paraId="0903CB2F" w14:textId="77777777" w:rsidR="00205791" w:rsidRPr="009D734A" w:rsidRDefault="00205791" w:rsidP="00205791">
      <w:pPr>
        <w:pStyle w:val="Sinespaciado"/>
        <w:jc w:val="both"/>
        <w:rPr>
          <w:rFonts w:ascii="Century Gothic" w:hAnsi="Century Gothic" w:cs="Arial"/>
          <w:b/>
          <w:sz w:val="21"/>
          <w:szCs w:val="21"/>
          <w:lang w:val="es-MX"/>
        </w:rPr>
      </w:pPr>
    </w:p>
    <w:p w14:paraId="2E0377FF"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585/2017 (Juzgado Primero Civil del Primer Departamento Judicial del Estado)</w:t>
      </w:r>
    </w:p>
    <w:p w14:paraId="561F45E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9D734A" w:rsidRDefault="00205791" w:rsidP="00205791">
      <w:pPr>
        <w:jc w:val="both"/>
        <w:rPr>
          <w:rFonts w:ascii="Century Gothic" w:hAnsi="Century Gothic" w:cs="Arial"/>
          <w:sz w:val="21"/>
          <w:szCs w:val="21"/>
          <w:lang w:val="es-ES"/>
        </w:rPr>
      </w:pPr>
    </w:p>
    <w:p w14:paraId="60CB45C1"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El pago de la cantidad de $8,161,677.18 (Son: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14:paraId="713FD5FA" w14:textId="77777777" w:rsidR="00205791" w:rsidRPr="009D734A" w:rsidRDefault="00205791" w:rsidP="00205791">
      <w:pPr>
        <w:jc w:val="both"/>
        <w:rPr>
          <w:rFonts w:ascii="Century Gothic" w:hAnsi="Century Gothic" w:cs="Arial"/>
          <w:sz w:val="21"/>
          <w:szCs w:val="21"/>
          <w:lang w:val="es-ES"/>
        </w:rPr>
      </w:pPr>
    </w:p>
    <w:p w14:paraId="3900C1FF" w14:textId="4D74C8A0" w:rsidR="00205791" w:rsidRPr="009D734A" w:rsidRDefault="00205791" w:rsidP="0051332E">
      <w:pPr>
        <w:jc w:val="both"/>
        <w:rPr>
          <w:rFonts w:ascii="Century Gothic" w:hAnsi="Century Gothic" w:cs="Arial"/>
          <w:sz w:val="21"/>
          <w:szCs w:val="21"/>
          <w:lang w:val="es-ES"/>
        </w:rPr>
      </w:pPr>
      <w:r w:rsidRPr="009D734A">
        <w:rPr>
          <w:rFonts w:ascii="Century Gothic" w:hAnsi="Century Gothic" w:cs="Arial"/>
          <w:sz w:val="21"/>
          <w:szCs w:val="21"/>
          <w:u w:val="single"/>
          <w:lang w:val="es-ES"/>
        </w:rPr>
        <w:t>Estado procesal actual.-</w:t>
      </w:r>
      <w:r w:rsidRPr="009D734A">
        <w:rPr>
          <w:rFonts w:ascii="Century Gothic" w:hAnsi="Century Gothic" w:cs="Arial"/>
          <w:sz w:val="21"/>
          <w:szCs w:val="21"/>
          <w:lang w:val="es-ES"/>
        </w:rPr>
        <w:t xml:space="preserve">  </w:t>
      </w:r>
      <w:r w:rsidR="0051332E" w:rsidRPr="009D734A">
        <w:rPr>
          <w:rFonts w:ascii="Century Gothic" w:hAnsi="Century Gothic" w:cs="Arial"/>
          <w:sz w:val="21"/>
          <w:szCs w:val="21"/>
          <w:lang w:val="es-ES"/>
        </w:rPr>
        <w:t xml:space="preserve">Se encuentra en </w:t>
      </w:r>
      <w:r w:rsidR="009D734A" w:rsidRPr="009D734A">
        <w:rPr>
          <w:rFonts w:ascii="Century Gothic" w:hAnsi="Century Gothic" w:cs="Arial"/>
          <w:sz w:val="21"/>
          <w:szCs w:val="21"/>
          <w:lang w:val="es-ES"/>
        </w:rPr>
        <w:t>trámite</w:t>
      </w:r>
      <w:r w:rsidR="0051332E" w:rsidRPr="009D734A">
        <w:rPr>
          <w:rFonts w:ascii="Century Gothic" w:hAnsi="Century Gothic" w:cs="Arial"/>
          <w:sz w:val="21"/>
          <w:szCs w:val="21"/>
          <w:lang w:val="es-ES"/>
        </w:rPr>
        <w:t xml:space="preserve"> el recurso de apelación</w:t>
      </w:r>
      <w:r w:rsidR="00F65EC5" w:rsidRPr="009D734A">
        <w:rPr>
          <w:rFonts w:ascii="Century Gothic" w:hAnsi="Century Gothic" w:cs="Arial"/>
          <w:sz w:val="21"/>
          <w:szCs w:val="21"/>
          <w:lang w:val="es-ES"/>
        </w:rPr>
        <w:t xml:space="preserve"> promovido en</w:t>
      </w:r>
      <w:r w:rsidR="0051332E" w:rsidRPr="009D734A">
        <w:rPr>
          <w:rFonts w:ascii="Century Gothic" w:hAnsi="Century Gothic" w:cs="Arial"/>
          <w:sz w:val="21"/>
          <w:szCs w:val="21"/>
          <w:lang w:val="es-ES"/>
        </w:rPr>
        <w:t xml:space="preserve"> contra </w:t>
      </w:r>
      <w:r w:rsidR="00F65EC5" w:rsidRPr="009D734A">
        <w:rPr>
          <w:rFonts w:ascii="Century Gothic" w:hAnsi="Century Gothic" w:cs="Arial"/>
          <w:sz w:val="21"/>
          <w:szCs w:val="21"/>
          <w:lang w:val="es-ES"/>
        </w:rPr>
        <w:t>d</w:t>
      </w:r>
      <w:r w:rsidR="0051332E" w:rsidRPr="009D734A">
        <w:rPr>
          <w:rFonts w:ascii="Century Gothic" w:hAnsi="Century Gothic" w:cs="Arial"/>
          <w:sz w:val="21"/>
          <w:szCs w:val="21"/>
          <w:lang w:val="es-ES"/>
        </w:rPr>
        <w:t>el auto que no admite el programa de pago.</w:t>
      </w:r>
    </w:p>
    <w:p w14:paraId="6D1F15F2" w14:textId="77777777" w:rsidR="00205791" w:rsidRPr="009D734A" w:rsidRDefault="00205791" w:rsidP="00205791">
      <w:pPr>
        <w:jc w:val="both"/>
        <w:rPr>
          <w:rFonts w:ascii="Century Gothic" w:hAnsi="Century Gothic" w:cs="Arial"/>
          <w:sz w:val="21"/>
          <w:szCs w:val="21"/>
          <w:lang w:val="es-ES"/>
        </w:rPr>
      </w:pPr>
    </w:p>
    <w:p w14:paraId="5C99DB99" w14:textId="14AED93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La cantidad reclamada </w:t>
      </w:r>
      <w:r w:rsidR="00D941DD" w:rsidRPr="009D734A">
        <w:rPr>
          <w:rFonts w:ascii="Century Gothic" w:hAnsi="Century Gothic" w:cs="Arial"/>
          <w:sz w:val="21"/>
          <w:szCs w:val="21"/>
          <w:lang w:val="es-ES"/>
        </w:rPr>
        <w:t>por “</w:t>
      </w:r>
      <w:r w:rsidRPr="009D734A">
        <w:rPr>
          <w:rFonts w:ascii="Century Gothic" w:hAnsi="Century Gothic" w:cs="Arial"/>
          <w:sz w:val="21"/>
          <w:szCs w:val="21"/>
          <w:lang w:val="es-ES"/>
        </w:rPr>
        <w:t xml:space="preserve">Sistemas Integrales de Seguridad y Telecomunicaciones”, Sociedad Anónima de Capital </w:t>
      </w:r>
      <w:r w:rsidR="00D941DD" w:rsidRPr="009D734A">
        <w:rPr>
          <w:rFonts w:ascii="Century Gothic" w:hAnsi="Century Gothic" w:cs="Arial"/>
          <w:sz w:val="21"/>
          <w:szCs w:val="21"/>
          <w:lang w:val="es-ES"/>
        </w:rPr>
        <w:t>Variable, redujo</w:t>
      </w:r>
      <w:r w:rsidRPr="009D734A">
        <w:rPr>
          <w:rFonts w:ascii="Century Gothic" w:hAnsi="Century Gothic" w:cs="Arial"/>
          <w:sz w:val="21"/>
          <w:szCs w:val="21"/>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9D734A" w:rsidRDefault="00205791" w:rsidP="00205791">
      <w:pPr>
        <w:jc w:val="both"/>
        <w:rPr>
          <w:rFonts w:ascii="Century Gothic" w:hAnsi="Century Gothic" w:cs="Arial"/>
          <w:sz w:val="21"/>
          <w:szCs w:val="21"/>
          <w:lang w:val="es-ES"/>
        </w:rPr>
      </w:pPr>
    </w:p>
    <w:p w14:paraId="7B440F50"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275/2020 (Juzgado Cuarto Civil del Primer Departamento Judicial del Estado)</w:t>
      </w:r>
    </w:p>
    <w:p w14:paraId="7D0C5B6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el C. Manuel Humberto Caballero Pacheco, en contra del  Ayuntamiento Constitucional del Municipio de Mérida, Yucatán y Director del Instituto de Vivienda del Estado de Yucatán (IVEY).</w:t>
      </w:r>
    </w:p>
    <w:p w14:paraId="5E1C9667" w14:textId="77777777" w:rsidR="00205791" w:rsidRPr="009D734A" w:rsidRDefault="00205791" w:rsidP="00205791">
      <w:pPr>
        <w:jc w:val="both"/>
        <w:rPr>
          <w:rFonts w:ascii="Century Gothic" w:hAnsi="Century Gothic" w:cs="Arial"/>
          <w:sz w:val="21"/>
          <w:szCs w:val="21"/>
          <w:lang w:val="es-ES"/>
        </w:rPr>
      </w:pPr>
    </w:p>
    <w:p w14:paraId="09C2C89C"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Interpone Prescripción positiva, respecto de los predios marcados con los números trescientos seis, trescientos ocho, trescientos diez, trescientos doce, trescientos catorce, trescientos dieciséis, trescientos dieciocho y trescientos veinte de la calle setenta y uno de la colonia Roble Agrícola de esta Ciudad de Mérida, Yucatán.</w:t>
      </w:r>
    </w:p>
    <w:p w14:paraId="1096BE53" w14:textId="77777777" w:rsidR="00205791" w:rsidRPr="009D734A" w:rsidRDefault="00205791" w:rsidP="00205791">
      <w:pPr>
        <w:jc w:val="both"/>
        <w:rPr>
          <w:rFonts w:ascii="Century Gothic" w:hAnsi="Century Gothic" w:cs="Arial"/>
          <w:sz w:val="21"/>
          <w:szCs w:val="21"/>
          <w:lang w:val="es-ES"/>
        </w:rPr>
      </w:pPr>
    </w:p>
    <w:p w14:paraId="02102BBB"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Estado procesal actual.-</w:t>
      </w:r>
      <w:r w:rsidRPr="009D734A">
        <w:rPr>
          <w:rFonts w:ascii="Century Gothic" w:hAnsi="Century Gothic" w:cs="Arial"/>
          <w:sz w:val="21"/>
          <w:szCs w:val="21"/>
          <w:lang w:val="es-ES"/>
        </w:rPr>
        <w:t xml:space="preserve">  El juicio se encuentra en Desahogo de Pruebas.</w:t>
      </w:r>
    </w:p>
    <w:p w14:paraId="416A538A" w14:textId="77777777" w:rsidR="00205791" w:rsidRPr="009D734A" w:rsidRDefault="00205791" w:rsidP="00205791">
      <w:pPr>
        <w:jc w:val="both"/>
        <w:rPr>
          <w:rFonts w:ascii="Century Gothic" w:hAnsi="Century Gothic" w:cs="Arial"/>
          <w:sz w:val="21"/>
          <w:szCs w:val="21"/>
          <w:lang w:val="es-ES"/>
        </w:rPr>
      </w:pPr>
    </w:p>
    <w:p w14:paraId="2713AE3A" w14:textId="41A572B9" w:rsidR="00205791"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032EEE84" w14:textId="3A80E01F" w:rsidR="007F23BA" w:rsidRDefault="007F23BA" w:rsidP="00205791">
      <w:pPr>
        <w:pStyle w:val="Sinespaciado"/>
        <w:ind w:right="-93"/>
        <w:jc w:val="both"/>
        <w:rPr>
          <w:rFonts w:ascii="Century Gothic" w:hAnsi="Century Gothic" w:cs="Arial"/>
          <w:sz w:val="21"/>
          <w:szCs w:val="21"/>
        </w:rPr>
      </w:pPr>
    </w:p>
    <w:p w14:paraId="7D22D882" w14:textId="3CD8DC80" w:rsidR="007F23BA" w:rsidRDefault="007F23BA" w:rsidP="00205791">
      <w:pPr>
        <w:pStyle w:val="Sinespaciado"/>
        <w:ind w:right="-93"/>
        <w:jc w:val="both"/>
        <w:rPr>
          <w:rFonts w:ascii="Century Gothic" w:hAnsi="Century Gothic" w:cs="Arial"/>
          <w:sz w:val="21"/>
          <w:szCs w:val="21"/>
        </w:rPr>
      </w:pPr>
    </w:p>
    <w:p w14:paraId="668FFC48" w14:textId="3CCE3192" w:rsidR="007F23BA" w:rsidRDefault="007F23BA" w:rsidP="00205791">
      <w:pPr>
        <w:pStyle w:val="Sinespaciado"/>
        <w:ind w:right="-93"/>
        <w:jc w:val="both"/>
        <w:rPr>
          <w:rFonts w:ascii="Century Gothic" w:hAnsi="Century Gothic" w:cs="Arial"/>
          <w:sz w:val="21"/>
          <w:szCs w:val="21"/>
        </w:rPr>
      </w:pPr>
    </w:p>
    <w:p w14:paraId="4D507898" w14:textId="232F2ECB" w:rsidR="007F23BA" w:rsidRDefault="007F23BA" w:rsidP="00205791">
      <w:pPr>
        <w:pStyle w:val="Sinespaciado"/>
        <w:ind w:right="-93"/>
        <w:jc w:val="both"/>
        <w:rPr>
          <w:rFonts w:ascii="Century Gothic" w:hAnsi="Century Gothic" w:cs="Arial"/>
          <w:sz w:val="21"/>
          <w:szCs w:val="21"/>
        </w:rPr>
      </w:pPr>
    </w:p>
    <w:p w14:paraId="6422F7D6" w14:textId="77777777" w:rsidR="007F23BA" w:rsidRPr="009D734A" w:rsidRDefault="007F23BA" w:rsidP="00205791">
      <w:pPr>
        <w:pStyle w:val="Sinespaciado"/>
        <w:ind w:right="-93"/>
        <w:jc w:val="both"/>
        <w:rPr>
          <w:rFonts w:ascii="Century Gothic" w:hAnsi="Century Gothic" w:cs="Arial"/>
          <w:sz w:val="21"/>
          <w:szCs w:val="21"/>
        </w:rPr>
      </w:pPr>
    </w:p>
    <w:p w14:paraId="390FB06D" w14:textId="77777777" w:rsidR="00205791" w:rsidRPr="009D734A" w:rsidRDefault="00205791" w:rsidP="00205791">
      <w:pPr>
        <w:pStyle w:val="Sinespaciado"/>
        <w:ind w:right="-93"/>
        <w:jc w:val="both"/>
        <w:rPr>
          <w:rFonts w:ascii="Century Gothic" w:hAnsi="Century Gothic" w:cs="Arial"/>
          <w:sz w:val="21"/>
          <w:szCs w:val="21"/>
        </w:rPr>
      </w:pPr>
    </w:p>
    <w:p w14:paraId="29F018C5"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542/2021 (Juzgado Cuarto Civil del Primer Departamento Judicial del Estado)</w:t>
      </w:r>
    </w:p>
    <w:p w14:paraId="7AF308DE" w14:textId="4781ADBD"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la C. </w:t>
      </w:r>
      <w:r w:rsidR="00D941DD" w:rsidRPr="009D734A">
        <w:rPr>
          <w:rFonts w:ascii="Century Gothic" w:hAnsi="Century Gothic" w:cs="Arial"/>
          <w:sz w:val="21"/>
          <w:szCs w:val="21"/>
          <w:lang w:val="es-ES"/>
        </w:rPr>
        <w:t>María</w:t>
      </w:r>
      <w:r w:rsidRPr="009D734A">
        <w:rPr>
          <w:rFonts w:ascii="Century Gothic" w:hAnsi="Century Gothic" w:cs="Arial"/>
          <w:sz w:val="21"/>
          <w:szCs w:val="21"/>
          <w:lang w:val="es-ES"/>
        </w:rPr>
        <w:t xml:space="preserve"> Teresa Novelo Castillo, en contra del  Ayuntamiento Constitucional del Municipio de Mérida, Yucatán y Dirección de Gobernación del Ayuntamiento de Mérida.</w:t>
      </w:r>
    </w:p>
    <w:p w14:paraId="58A81B8B" w14:textId="77777777" w:rsidR="00205791" w:rsidRPr="009D734A" w:rsidRDefault="00205791" w:rsidP="00205791">
      <w:pPr>
        <w:jc w:val="both"/>
        <w:rPr>
          <w:rFonts w:ascii="Century Gothic" w:hAnsi="Century Gothic" w:cs="Arial"/>
          <w:sz w:val="21"/>
          <w:szCs w:val="21"/>
          <w:lang w:val="es-ES"/>
        </w:rPr>
      </w:pPr>
    </w:p>
    <w:p w14:paraId="443576B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restablecer la movilidad del mismo; todo ello derivado del mal estado que se encuentra la vía pública municipal en donde acontecieron los hechos.</w:t>
      </w:r>
    </w:p>
    <w:p w14:paraId="5219294B" w14:textId="77777777" w:rsidR="00205791" w:rsidRPr="009D734A" w:rsidRDefault="00205791" w:rsidP="00205791">
      <w:pPr>
        <w:jc w:val="both"/>
        <w:rPr>
          <w:rFonts w:ascii="Century Gothic" w:hAnsi="Century Gothic" w:cs="Arial"/>
          <w:sz w:val="21"/>
          <w:szCs w:val="21"/>
          <w:lang w:val="es-ES"/>
        </w:rPr>
      </w:pPr>
    </w:p>
    <w:p w14:paraId="2A520D05" w14:textId="23429009"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r w:rsidR="00D941DD" w:rsidRPr="009D734A">
        <w:rPr>
          <w:rFonts w:ascii="Century Gothic" w:hAnsi="Century Gothic" w:cs="Arial"/>
          <w:sz w:val="21"/>
          <w:szCs w:val="21"/>
          <w:u w:val="single"/>
          <w:lang w:val="es-ES"/>
        </w:rPr>
        <w:t>actual. -</w:t>
      </w:r>
      <w:r w:rsidRPr="009D734A">
        <w:rPr>
          <w:rFonts w:ascii="Century Gothic" w:hAnsi="Century Gothic" w:cs="Arial"/>
          <w:sz w:val="21"/>
          <w:szCs w:val="21"/>
          <w:lang w:val="es-ES"/>
        </w:rPr>
        <w:t xml:space="preserve"> </w:t>
      </w:r>
      <w:r w:rsidR="00D941DD" w:rsidRPr="009D734A">
        <w:rPr>
          <w:rFonts w:ascii="Century Gothic" w:hAnsi="Century Gothic" w:cs="Arial"/>
          <w:sz w:val="21"/>
          <w:szCs w:val="21"/>
          <w:lang w:val="es-ES"/>
        </w:rPr>
        <w:t xml:space="preserve">Acordaron </w:t>
      </w:r>
      <w:r w:rsidR="00D42B12" w:rsidRPr="009D734A">
        <w:rPr>
          <w:rFonts w:ascii="Century Gothic" w:hAnsi="Century Gothic" w:cs="Arial"/>
          <w:sz w:val="21"/>
          <w:szCs w:val="21"/>
          <w:lang w:val="es-ES"/>
        </w:rPr>
        <w:t xml:space="preserve">la </w:t>
      </w:r>
      <w:r w:rsidRPr="009D734A">
        <w:rPr>
          <w:rFonts w:ascii="Century Gothic" w:hAnsi="Century Gothic" w:cs="Arial"/>
          <w:sz w:val="21"/>
          <w:szCs w:val="21"/>
          <w:lang w:val="es-ES"/>
        </w:rPr>
        <w:t>contestación</w:t>
      </w:r>
      <w:r w:rsidR="00D941DD" w:rsidRPr="009D734A">
        <w:rPr>
          <w:rFonts w:ascii="Century Gothic" w:hAnsi="Century Gothic" w:cs="Arial"/>
          <w:sz w:val="21"/>
          <w:szCs w:val="21"/>
          <w:lang w:val="es-ES"/>
        </w:rPr>
        <w:t xml:space="preserve"> de la demanda;</w:t>
      </w:r>
      <w:r w:rsidR="00D42B12" w:rsidRPr="009D734A">
        <w:rPr>
          <w:rFonts w:ascii="Century Gothic" w:hAnsi="Century Gothic" w:cs="Arial"/>
          <w:sz w:val="21"/>
          <w:szCs w:val="21"/>
          <w:lang w:val="es-ES"/>
        </w:rPr>
        <w:t xml:space="preserve"> </w:t>
      </w:r>
      <w:r w:rsidR="00D941DD" w:rsidRPr="009D734A">
        <w:rPr>
          <w:rFonts w:ascii="Century Gothic" w:hAnsi="Century Gothic" w:cs="Arial"/>
          <w:sz w:val="21"/>
          <w:szCs w:val="21"/>
          <w:lang w:val="es-ES"/>
        </w:rPr>
        <w:t>se está tramitando la excepción de competencia por declinatoria ante el Tribunal Superior de Justicia del Estado de Yucatán.</w:t>
      </w:r>
    </w:p>
    <w:p w14:paraId="28CA4C70" w14:textId="77777777" w:rsidR="00205791" w:rsidRPr="009D734A" w:rsidRDefault="00205791" w:rsidP="00205791">
      <w:pPr>
        <w:jc w:val="both"/>
        <w:rPr>
          <w:rFonts w:ascii="Century Gothic" w:hAnsi="Century Gothic" w:cs="Arial"/>
          <w:sz w:val="21"/>
          <w:szCs w:val="21"/>
          <w:lang w:val="es-ES"/>
        </w:rPr>
      </w:pPr>
    </w:p>
    <w:p w14:paraId="73E3336F" w14:textId="77777777" w:rsidR="00205791" w:rsidRPr="009D734A" w:rsidRDefault="00205791" w:rsidP="00205791">
      <w:pPr>
        <w:pStyle w:val="Prrafodelista"/>
        <w:numPr>
          <w:ilvl w:val="0"/>
          <w:numId w:val="1"/>
        </w:numPr>
        <w:jc w:val="both"/>
        <w:rPr>
          <w:rFonts w:ascii="Century Gothic" w:hAnsi="Century Gothic" w:cs="Arial"/>
          <w:b/>
          <w:sz w:val="21"/>
          <w:szCs w:val="21"/>
        </w:rPr>
      </w:pPr>
      <w:r w:rsidRPr="009D734A">
        <w:rPr>
          <w:rFonts w:ascii="Century Gothic" w:hAnsi="Century Gothic" w:cs="Arial"/>
          <w:b/>
          <w:sz w:val="21"/>
          <w:szCs w:val="21"/>
        </w:rPr>
        <w:t>Expediente número 109/2014 (Tribunal de Justicia Administrativa del Estado de Yucatán)</w:t>
      </w:r>
    </w:p>
    <w:p w14:paraId="216E183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William Alberto Chan Arreola, en contra del Presidente Municipal del Ayuntamiento de Mérida y Director de Gobernación.</w:t>
      </w:r>
    </w:p>
    <w:p w14:paraId="17A34E0C" w14:textId="77777777" w:rsidR="00205791" w:rsidRPr="009D734A" w:rsidRDefault="00205791" w:rsidP="00205791">
      <w:pPr>
        <w:pStyle w:val="Sinespaciado"/>
        <w:jc w:val="both"/>
        <w:rPr>
          <w:rFonts w:ascii="Century Gothic" w:hAnsi="Century Gothic" w:cs="Arial"/>
          <w:sz w:val="21"/>
          <w:szCs w:val="21"/>
        </w:rPr>
      </w:pPr>
    </w:p>
    <w:p w14:paraId="6EF5DCF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los daños y perjuicios ocasionados por la caída de un árbol.</w:t>
      </w:r>
    </w:p>
    <w:p w14:paraId="692A5820" w14:textId="77777777" w:rsidR="00205791" w:rsidRPr="009D734A" w:rsidRDefault="00205791" w:rsidP="00205791">
      <w:pPr>
        <w:pStyle w:val="Sinespaciado"/>
        <w:jc w:val="both"/>
        <w:rPr>
          <w:rFonts w:ascii="Century Gothic" w:hAnsi="Century Gothic" w:cs="Arial"/>
          <w:sz w:val="21"/>
          <w:szCs w:val="21"/>
        </w:rPr>
      </w:pPr>
    </w:p>
    <w:p w14:paraId="1883BB97"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dos  pesos 84/100 M.N.)</w:t>
      </w:r>
    </w:p>
    <w:p w14:paraId="10C03BEB" w14:textId="77777777" w:rsidR="00205791" w:rsidRPr="009D734A" w:rsidRDefault="00205791" w:rsidP="00205791">
      <w:pPr>
        <w:pStyle w:val="Sinespaciado"/>
        <w:jc w:val="both"/>
        <w:rPr>
          <w:rFonts w:ascii="Century Gothic" w:hAnsi="Century Gothic" w:cs="Arial"/>
          <w:sz w:val="21"/>
          <w:szCs w:val="21"/>
        </w:rPr>
      </w:pPr>
    </w:p>
    <w:p w14:paraId="39C7525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272/2015 (Tribunal de Justicia Administrativa del Estado de Yucatán)</w:t>
      </w:r>
    </w:p>
    <w:p w14:paraId="2EAF3870" w14:textId="77777777" w:rsidR="00205791" w:rsidRPr="009D734A" w:rsidRDefault="00205791" w:rsidP="00205791">
      <w:pPr>
        <w:pStyle w:val="Sinespaciado"/>
        <w:rPr>
          <w:rFonts w:ascii="Century Gothic" w:hAnsi="Century Gothic" w:cs="Arial"/>
          <w:sz w:val="21"/>
          <w:szCs w:val="21"/>
        </w:rPr>
      </w:pPr>
    </w:p>
    <w:p w14:paraId="1314F03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Emma Torres Arcila, en contra del Ayuntamiento de Mérida y la Dirección de Desarrollo Urbano del Ayuntamiento de Mérida.</w:t>
      </w:r>
    </w:p>
    <w:p w14:paraId="254F3090" w14:textId="77777777" w:rsidR="00205791" w:rsidRPr="009D734A" w:rsidRDefault="00205791" w:rsidP="00205791">
      <w:pPr>
        <w:pStyle w:val="Sinespaciado"/>
        <w:jc w:val="both"/>
        <w:rPr>
          <w:rFonts w:ascii="Century Gothic" w:hAnsi="Century Gothic" w:cs="Arial"/>
          <w:sz w:val="21"/>
          <w:szCs w:val="21"/>
        </w:rPr>
      </w:pPr>
    </w:p>
    <w:p w14:paraId="6A06D6F5"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D734A">
        <w:rPr>
          <w:rFonts w:ascii="Century Gothic" w:hAnsi="Century Gothic" w:cs="Arial"/>
          <w:sz w:val="21"/>
          <w:szCs w:val="21"/>
        </w:rPr>
        <w:t>Sodzil</w:t>
      </w:r>
      <w:proofErr w:type="spellEnd"/>
      <w:r w:rsidRPr="009D734A">
        <w:rPr>
          <w:rFonts w:ascii="Century Gothic" w:hAnsi="Century Gothic" w:cs="Arial"/>
          <w:sz w:val="21"/>
          <w:szCs w:val="21"/>
        </w:rPr>
        <w:t xml:space="preserve"> Norte del Municipio de Mérida, Yucatán. </w:t>
      </w:r>
    </w:p>
    <w:p w14:paraId="23715C42" w14:textId="77777777" w:rsidR="00205791" w:rsidRPr="009D734A" w:rsidRDefault="00205791" w:rsidP="00205791">
      <w:pPr>
        <w:pStyle w:val="Sinespaciado"/>
        <w:jc w:val="both"/>
        <w:rPr>
          <w:rFonts w:ascii="Century Gothic" w:hAnsi="Century Gothic" w:cs="Arial"/>
          <w:sz w:val="21"/>
          <w:szCs w:val="21"/>
        </w:rPr>
      </w:pPr>
    </w:p>
    <w:p w14:paraId="4EED0EF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7764F6E5" w14:textId="77777777" w:rsidR="00205791" w:rsidRPr="009D734A" w:rsidRDefault="00205791" w:rsidP="00205791">
      <w:pPr>
        <w:jc w:val="both"/>
        <w:rPr>
          <w:rFonts w:ascii="Century Gothic" w:hAnsi="Century Gothic" w:cs="Arial"/>
          <w:sz w:val="21"/>
          <w:szCs w:val="21"/>
        </w:rPr>
      </w:pPr>
    </w:p>
    <w:p w14:paraId="77609A1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proceso se está defendiendo arduamente toda vez que la parte actora afirma que con la construcción de la vialidad en cita se invadió terrenos de su propiedad.</w:t>
      </w:r>
    </w:p>
    <w:p w14:paraId="50052C2B" w14:textId="77777777" w:rsidR="00205791" w:rsidRPr="009D734A" w:rsidRDefault="00205791" w:rsidP="00205791">
      <w:pPr>
        <w:jc w:val="both"/>
        <w:rPr>
          <w:rFonts w:ascii="Century Gothic" w:hAnsi="Century Gothic" w:cs="Arial"/>
          <w:sz w:val="21"/>
          <w:szCs w:val="21"/>
        </w:rPr>
      </w:pPr>
    </w:p>
    <w:p w14:paraId="717C3B2B" w14:textId="4D70B134"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774AFBD8" w14:textId="12AC7326" w:rsidR="00985E2E" w:rsidRPr="009D734A" w:rsidRDefault="00985E2E" w:rsidP="00205791">
      <w:pPr>
        <w:jc w:val="both"/>
        <w:rPr>
          <w:rFonts w:ascii="Century Gothic" w:hAnsi="Century Gothic" w:cs="Arial"/>
          <w:sz w:val="21"/>
          <w:szCs w:val="21"/>
        </w:rPr>
      </w:pPr>
    </w:p>
    <w:p w14:paraId="7CCA3F02" w14:textId="02880D33" w:rsidR="00985E2E" w:rsidRPr="009D734A" w:rsidRDefault="00985E2E" w:rsidP="00205791">
      <w:pPr>
        <w:jc w:val="both"/>
        <w:rPr>
          <w:rFonts w:ascii="Century Gothic" w:hAnsi="Century Gothic" w:cs="Arial"/>
          <w:sz w:val="21"/>
          <w:szCs w:val="21"/>
        </w:rPr>
      </w:pPr>
      <w:r w:rsidRPr="009D734A">
        <w:rPr>
          <w:rFonts w:ascii="Century Gothic" w:hAnsi="Century Gothic" w:cs="Arial"/>
          <w:sz w:val="21"/>
          <w:szCs w:val="21"/>
        </w:rPr>
        <w:t>Con fecha 07 de marzo de 2022</w:t>
      </w:r>
      <w:r w:rsidR="00B222CA" w:rsidRPr="009D734A">
        <w:rPr>
          <w:rFonts w:ascii="Century Gothic" w:hAnsi="Century Gothic" w:cs="Arial"/>
          <w:sz w:val="21"/>
          <w:szCs w:val="21"/>
        </w:rPr>
        <w:t>,</w:t>
      </w:r>
      <w:r w:rsidRPr="009D734A">
        <w:rPr>
          <w:rFonts w:ascii="Century Gothic" w:hAnsi="Century Gothic" w:cs="Arial"/>
          <w:sz w:val="21"/>
          <w:szCs w:val="21"/>
        </w:rPr>
        <w:t xml:space="preserve"> fue notificada la resolución que sobreseyó el Juicio de Amparo 592/2021 del índice del Tribunal Colegiado en Materia de Trabajo y Administrativa del Décimo Cuarto Circuito por ende, quedó firme la resolución emitida por el </w:t>
      </w:r>
      <w:r w:rsidR="00B222CA" w:rsidRPr="009D734A">
        <w:rPr>
          <w:rFonts w:ascii="Century Gothic" w:hAnsi="Century Gothic" w:cs="Arial"/>
          <w:sz w:val="21"/>
          <w:szCs w:val="21"/>
        </w:rPr>
        <w:t>Tribunal de Justicia Administrativa del Estado de Yucatán.</w:t>
      </w:r>
      <w:r w:rsidRPr="009D734A">
        <w:rPr>
          <w:rFonts w:ascii="Century Gothic" w:hAnsi="Century Gothic" w:cs="Arial"/>
          <w:sz w:val="21"/>
          <w:szCs w:val="21"/>
        </w:rPr>
        <w:t xml:space="preserve"> </w:t>
      </w:r>
    </w:p>
    <w:p w14:paraId="386F0D08" w14:textId="1753CBE5" w:rsidR="006762D3" w:rsidRPr="009D734A" w:rsidRDefault="006762D3" w:rsidP="00205791">
      <w:pPr>
        <w:jc w:val="both"/>
        <w:rPr>
          <w:rFonts w:ascii="Century Gothic" w:hAnsi="Century Gothic" w:cs="Arial"/>
          <w:sz w:val="21"/>
          <w:szCs w:val="21"/>
        </w:rPr>
      </w:pPr>
    </w:p>
    <w:p w14:paraId="1A1A362C"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180/2020 (Tribunal de Justicia Administrativa del Estado de Yucatán)</w:t>
      </w:r>
    </w:p>
    <w:p w14:paraId="7A9CFD63" w14:textId="77777777" w:rsidR="006762D3" w:rsidRPr="009D734A" w:rsidRDefault="006762D3" w:rsidP="006762D3">
      <w:pPr>
        <w:ind w:firstLine="1"/>
        <w:jc w:val="both"/>
        <w:rPr>
          <w:rFonts w:ascii="Century Gothic" w:hAnsi="Century Gothic" w:cs="Arial"/>
          <w:sz w:val="21"/>
          <w:szCs w:val="21"/>
        </w:rPr>
      </w:pPr>
    </w:p>
    <w:p w14:paraId="73B1C323"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Bryant Jesús </w:t>
      </w:r>
      <w:proofErr w:type="spellStart"/>
      <w:r w:rsidRPr="009D734A">
        <w:rPr>
          <w:rFonts w:ascii="Century Gothic" w:hAnsi="Century Gothic" w:cs="Arial"/>
          <w:sz w:val="21"/>
          <w:szCs w:val="21"/>
        </w:rPr>
        <w:t>Carenzo</w:t>
      </w:r>
      <w:proofErr w:type="spellEnd"/>
      <w:r w:rsidRPr="009D734A">
        <w:rPr>
          <w:rFonts w:ascii="Century Gothic" w:hAnsi="Century Gothic" w:cs="Arial"/>
          <w:sz w:val="21"/>
          <w:szCs w:val="21"/>
        </w:rPr>
        <w:t xml:space="preserve"> Ramírez, en contra del Presidente Municipal del Ayuntamiento de Mérida y Director de la Policía Municipal de Mérida.</w:t>
      </w:r>
    </w:p>
    <w:p w14:paraId="0597FF71" w14:textId="77777777" w:rsidR="006762D3" w:rsidRPr="009D734A" w:rsidRDefault="006762D3" w:rsidP="006762D3">
      <w:pPr>
        <w:ind w:firstLine="1"/>
        <w:jc w:val="both"/>
        <w:rPr>
          <w:rFonts w:ascii="Century Gothic" w:hAnsi="Century Gothic" w:cs="Arial"/>
          <w:sz w:val="21"/>
          <w:szCs w:val="21"/>
        </w:rPr>
      </w:pPr>
    </w:p>
    <w:p w14:paraId="332F50EB"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El pago de prestaciones laborales por despido injustificado.</w:t>
      </w:r>
    </w:p>
    <w:p w14:paraId="39400A0F" w14:textId="77777777" w:rsidR="006762D3" w:rsidRPr="009D734A" w:rsidRDefault="006762D3" w:rsidP="006762D3">
      <w:pPr>
        <w:ind w:firstLine="1"/>
        <w:jc w:val="both"/>
        <w:rPr>
          <w:rFonts w:ascii="Century Gothic" w:hAnsi="Century Gothic" w:cs="Arial"/>
          <w:sz w:val="21"/>
          <w:szCs w:val="21"/>
        </w:rPr>
      </w:pPr>
    </w:p>
    <w:p w14:paraId="68CEAE40"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Con fecha 21 de junio del año 2022, se verificó la audiencia de pruebas y alegatos, sin que hasta la presente fecha se haya emitido resolución. Hasta el momento no se tiene cantidad estimada.</w:t>
      </w:r>
    </w:p>
    <w:p w14:paraId="5BFFAE0E" w14:textId="77777777" w:rsidR="006762D3" w:rsidRPr="009D734A" w:rsidRDefault="006762D3" w:rsidP="006762D3">
      <w:pPr>
        <w:ind w:firstLine="1"/>
        <w:jc w:val="both"/>
        <w:rPr>
          <w:rFonts w:ascii="Century Gothic" w:hAnsi="Century Gothic" w:cs="Arial"/>
          <w:sz w:val="21"/>
          <w:szCs w:val="21"/>
        </w:rPr>
      </w:pPr>
    </w:p>
    <w:p w14:paraId="7AC542F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181/2020 (Tribunal de Justicia Administrativa del Estado de Yucatán)</w:t>
      </w:r>
    </w:p>
    <w:p w14:paraId="7CA830C3" w14:textId="77777777" w:rsidR="006762D3" w:rsidRPr="009D734A" w:rsidRDefault="006762D3" w:rsidP="006762D3">
      <w:pPr>
        <w:ind w:firstLine="1"/>
        <w:jc w:val="both"/>
        <w:rPr>
          <w:rFonts w:ascii="Century Gothic" w:hAnsi="Century Gothic" w:cs="Arial"/>
          <w:sz w:val="21"/>
          <w:szCs w:val="21"/>
        </w:rPr>
      </w:pPr>
    </w:p>
    <w:p w14:paraId="5B639A0E"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Juicio Contencioso Administrativo, promovido por William Gaspar Chim Sánchez, en contra del Presidente Municipal del Ayuntamiento de Mérida y Director de la Policía Municipal de Mérida.</w:t>
      </w:r>
    </w:p>
    <w:p w14:paraId="1719F69C" w14:textId="77777777" w:rsidR="006762D3" w:rsidRPr="009D734A" w:rsidRDefault="006762D3" w:rsidP="006762D3">
      <w:pPr>
        <w:ind w:firstLine="1"/>
        <w:jc w:val="both"/>
        <w:rPr>
          <w:rFonts w:ascii="Century Gothic" w:hAnsi="Century Gothic" w:cs="Arial"/>
          <w:sz w:val="21"/>
          <w:szCs w:val="21"/>
        </w:rPr>
      </w:pPr>
    </w:p>
    <w:p w14:paraId="5A168B3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prestaciones laborales por despido injustificado.</w:t>
      </w:r>
    </w:p>
    <w:p w14:paraId="2DE8E227" w14:textId="77777777" w:rsidR="006762D3" w:rsidRPr="009D734A" w:rsidRDefault="006762D3" w:rsidP="006762D3">
      <w:pPr>
        <w:ind w:firstLine="1"/>
        <w:jc w:val="both"/>
        <w:rPr>
          <w:rFonts w:ascii="Century Gothic" w:hAnsi="Century Gothic" w:cs="Arial"/>
          <w:sz w:val="21"/>
          <w:szCs w:val="21"/>
        </w:rPr>
      </w:pPr>
    </w:p>
    <w:p w14:paraId="5A38CC15" w14:textId="2C8AC1A2" w:rsidR="006762D3"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Con fecha 11 de febrero del año 2022, se verificó la audiencia de pruebas y alegatos, sin que hasta la presente fecha se haya emitido resolución. Hasta el momento no se tiene cantidad estimada.</w:t>
      </w:r>
    </w:p>
    <w:p w14:paraId="6233251D" w14:textId="5F23AB64" w:rsidR="007F23BA" w:rsidRDefault="007F23BA" w:rsidP="006762D3">
      <w:pPr>
        <w:ind w:firstLine="1"/>
        <w:jc w:val="both"/>
        <w:rPr>
          <w:rFonts w:ascii="Century Gothic" w:hAnsi="Century Gothic" w:cs="Arial"/>
          <w:sz w:val="21"/>
          <w:szCs w:val="21"/>
        </w:rPr>
      </w:pPr>
    </w:p>
    <w:p w14:paraId="7672FDB5" w14:textId="347BF58D" w:rsidR="007F23BA" w:rsidRDefault="007F23BA" w:rsidP="006762D3">
      <w:pPr>
        <w:ind w:firstLine="1"/>
        <w:jc w:val="both"/>
        <w:rPr>
          <w:rFonts w:ascii="Century Gothic" w:hAnsi="Century Gothic" w:cs="Arial"/>
          <w:sz w:val="21"/>
          <w:szCs w:val="21"/>
        </w:rPr>
      </w:pPr>
    </w:p>
    <w:p w14:paraId="1287F22D" w14:textId="0462548F" w:rsidR="007F23BA" w:rsidRDefault="007F23BA" w:rsidP="006762D3">
      <w:pPr>
        <w:ind w:firstLine="1"/>
        <w:jc w:val="both"/>
        <w:rPr>
          <w:rFonts w:ascii="Century Gothic" w:hAnsi="Century Gothic" w:cs="Arial"/>
          <w:sz w:val="21"/>
          <w:szCs w:val="21"/>
        </w:rPr>
      </w:pPr>
    </w:p>
    <w:p w14:paraId="4B52ABDE" w14:textId="77777777" w:rsidR="007F23BA" w:rsidRPr="009D734A" w:rsidRDefault="007F23BA" w:rsidP="006762D3">
      <w:pPr>
        <w:ind w:firstLine="1"/>
        <w:jc w:val="both"/>
        <w:rPr>
          <w:rFonts w:ascii="Century Gothic" w:hAnsi="Century Gothic" w:cs="Arial"/>
          <w:sz w:val="21"/>
          <w:szCs w:val="21"/>
        </w:rPr>
      </w:pPr>
    </w:p>
    <w:p w14:paraId="45F6E0C0" w14:textId="77777777" w:rsidR="00205791" w:rsidRPr="009D734A" w:rsidRDefault="00205791" w:rsidP="00205791">
      <w:pPr>
        <w:jc w:val="both"/>
        <w:rPr>
          <w:rFonts w:ascii="Century Gothic" w:hAnsi="Century Gothic" w:cs="Arial"/>
          <w:sz w:val="21"/>
          <w:szCs w:val="21"/>
        </w:rPr>
      </w:pPr>
    </w:p>
    <w:p w14:paraId="2B18F0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25/2019 (Tribunal de lo Contencioso Administrativo del Municipio de Mérida)</w:t>
      </w:r>
    </w:p>
    <w:p w14:paraId="76D32F64" w14:textId="77777777" w:rsidR="00205791" w:rsidRPr="009D734A" w:rsidRDefault="00205791" w:rsidP="00205791">
      <w:pPr>
        <w:pStyle w:val="Sinespaciado"/>
        <w:rPr>
          <w:rFonts w:ascii="Century Gothic" w:hAnsi="Century Gothic" w:cs="Arial"/>
          <w:sz w:val="21"/>
          <w:szCs w:val="21"/>
        </w:rPr>
      </w:pPr>
    </w:p>
    <w:p w14:paraId="1ECDFB4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por conducto de su representante Legal, en contra del Presidente, Secretario Municipal y Director de Administración todos del Ayuntamiento de </w:t>
      </w:r>
      <w:proofErr w:type="gramStart"/>
      <w:r w:rsidRPr="009D734A">
        <w:rPr>
          <w:rFonts w:ascii="Century Gothic" w:hAnsi="Century Gothic" w:cs="Arial"/>
          <w:sz w:val="21"/>
          <w:szCs w:val="21"/>
        </w:rPr>
        <w:t>Mérida .</w:t>
      </w:r>
      <w:proofErr w:type="gramEnd"/>
    </w:p>
    <w:p w14:paraId="5F2E8912" w14:textId="77777777" w:rsidR="00205791" w:rsidRPr="009D734A" w:rsidRDefault="00205791" w:rsidP="00205791">
      <w:pPr>
        <w:pStyle w:val="Sinespaciado"/>
        <w:jc w:val="both"/>
        <w:rPr>
          <w:rFonts w:ascii="Century Gothic" w:hAnsi="Century Gothic" w:cs="Arial"/>
          <w:sz w:val="21"/>
          <w:szCs w:val="21"/>
        </w:rPr>
      </w:pPr>
    </w:p>
    <w:p w14:paraId="174D580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El acuerdo 04/2019 de fecha 6 de mayo de 2019, relativo a la Resolución del Procedimiento Administrativo de Rescisión del contrato de Prestación de Servicios DA-2017-ACTUALIZACIÓN BASE CARTOGRÁFICA-01-01, y su convenio modificatorio, celebrado entre el Ayuntamiento de Mérida y el promovente. </w:t>
      </w:r>
    </w:p>
    <w:p w14:paraId="0D379C67" w14:textId="77777777" w:rsidR="00205791" w:rsidRPr="009D734A" w:rsidRDefault="00205791" w:rsidP="00205791">
      <w:pPr>
        <w:pStyle w:val="Sinespaciado"/>
        <w:jc w:val="both"/>
        <w:rPr>
          <w:rFonts w:ascii="Century Gothic" w:hAnsi="Century Gothic" w:cs="Arial"/>
          <w:sz w:val="21"/>
          <w:szCs w:val="21"/>
        </w:rPr>
      </w:pPr>
    </w:p>
    <w:p w14:paraId="2977DF4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Se emitió sentencia, en el cual en el punto segundo del Resolutivo se declaró la validez del acto impugnado.</w:t>
      </w:r>
    </w:p>
    <w:p w14:paraId="76BE7C8A" w14:textId="77777777" w:rsidR="00205791" w:rsidRPr="009D734A" w:rsidRDefault="00205791" w:rsidP="00205791">
      <w:pPr>
        <w:jc w:val="both"/>
        <w:rPr>
          <w:rFonts w:ascii="Century Gothic" w:hAnsi="Century Gothic" w:cs="Arial"/>
          <w:sz w:val="21"/>
          <w:szCs w:val="21"/>
        </w:rPr>
      </w:pPr>
    </w:p>
    <w:p w14:paraId="04BCA5B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9D734A" w:rsidRDefault="00205791" w:rsidP="00205791">
      <w:pPr>
        <w:jc w:val="both"/>
        <w:rPr>
          <w:rFonts w:ascii="Century Gothic" w:hAnsi="Century Gothic" w:cs="Arial"/>
          <w:sz w:val="21"/>
          <w:szCs w:val="21"/>
        </w:rPr>
      </w:pPr>
    </w:p>
    <w:p w14:paraId="221A9878"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Sin embargo, en el acuerdo 04/2019 de fecha 6 de mayo de 2019,  relativo a la Resolución del Procedimiento administrativo de Rescisión del Contrato de Prestación de Servicios DA-2017-ACTUALIZACIÓN BASE CARTOGRÁFICA-01-01, y su Convenio Modificatorio, se determinó el incumplimiento parcial en que incurrió la persona moral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y por ende la rescisión del contrato y su Convenio Modificatorio; asimismo se ordenó realizar el finiquito correspondiente, ordenando pagar a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de la respectiva factura que cuente con los requisitos legales y fiscales correspondientes.</w:t>
      </w:r>
    </w:p>
    <w:p w14:paraId="7157E784" w14:textId="77777777" w:rsidR="00205791" w:rsidRPr="009D734A" w:rsidRDefault="00205791" w:rsidP="00205791">
      <w:pPr>
        <w:jc w:val="both"/>
        <w:rPr>
          <w:rFonts w:ascii="Century Gothic" w:hAnsi="Century Gothic" w:cs="Arial"/>
          <w:sz w:val="21"/>
          <w:szCs w:val="21"/>
        </w:rPr>
      </w:pPr>
    </w:p>
    <w:p w14:paraId="5459AE6F"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Hasta el momento no se cuenta con información respecto al pago a la empresa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(Dirección de Catastro Municipal).</w:t>
      </w:r>
    </w:p>
    <w:p w14:paraId="190AB02C" w14:textId="77777777" w:rsidR="00205791" w:rsidRPr="009D734A" w:rsidRDefault="00205791" w:rsidP="00205791">
      <w:pPr>
        <w:jc w:val="both"/>
        <w:rPr>
          <w:rFonts w:ascii="Century Gothic" w:hAnsi="Century Gothic" w:cs="Arial"/>
          <w:sz w:val="21"/>
          <w:szCs w:val="21"/>
        </w:rPr>
      </w:pPr>
    </w:p>
    <w:p w14:paraId="4A153E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29/2020 (Tribunal de lo Contencioso Administrativo del Municipio de Mérida)</w:t>
      </w:r>
    </w:p>
    <w:p w14:paraId="2C0FAA1C" w14:textId="77777777" w:rsidR="00205791" w:rsidRPr="009D734A" w:rsidRDefault="00205791" w:rsidP="00205791">
      <w:pPr>
        <w:pStyle w:val="Sinespaciado"/>
        <w:rPr>
          <w:rFonts w:ascii="Century Gothic" w:hAnsi="Century Gothic" w:cs="Arial"/>
          <w:sz w:val="21"/>
          <w:szCs w:val="21"/>
        </w:rPr>
      </w:pPr>
    </w:p>
    <w:p w14:paraId="6FFDB9ED" w14:textId="3584916C" w:rsidR="00205791"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Recurso de revisión promovido por Cecilia Noemi Góngora Sosa y Rolando Vázquez Góngora, en contra del Ayuntamiento de Mérida (con</w:t>
      </w:r>
      <w:r w:rsidR="007F23BA">
        <w:rPr>
          <w:rFonts w:ascii="Century Gothic" w:hAnsi="Century Gothic" w:cs="Arial"/>
          <w:sz w:val="21"/>
          <w:szCs w:val="21"/>
        </w:rPr>
        <w:t>vulsionado parque colonia maya).</w:t>
      </w:r>
    </w:p>
    <w:p w14:paraId="39CBA0F2" w14:textId="77777777" w:rsidR="007F23BA" w:rsidRPr="009D734A" w:rsidRDefault="007F23BA" w:rsidP="00205791">
      <w:pPr>
        <w:pStyle w:val="Sinespaciado"/>
        <w:jc w:val="both"/>
        <w:rPr>
          <w:rFonts w:ascii="Century Gothic" w:hAnsi="Century Gothic" w:cs="Arial"/>
          <w:sz w:val="21"/>
          <w:szCs w:val="21"/>
        </w:rPr>
      </w:pPr>
    </w:p>
    <w:p w14:paraId="73D2BD6B" w14:textId="77777777" w:rsidR="00205791" w:rsidRPr="009D734A" w:rsidRDefault="00205791" w:rsidP="00205791">
      <w:pPr>
        <w:pStyle w:val="Sinespaciado"/>
        <w:jc w:val="both"/>
        <w:rPr>
          <w:rFonts w:ascii="Century Gothic" w:hAnsi="Century Gothic" w:cs="Arial"/>
          <w:sz w:val="21"/>
          <w:szCs w:val="21"/>
        </w:rPr>
      </w:pPr>
    </w:p>
    <w:p w14:paraId="76B9A9AE"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lastRenderedPageBreak/>
        <w:t>Prestación reclamada (Acto impugnado):</w:t>
      </w:r>
      <w:r w:rsidRPr="009D734A">
        <w:rPr>
          <w:rFonts w:ascii="Century Gothic" w:hAnsi="Century Gothic" w:cs="Arial"/>
          <w:sz w:val="21"/>
          <w:szCs w:val="21"/>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4BAF6322" w14:textId="77777777" w:rsidR="00205791" w:rsidRPr="009D734A" w:rsidRDefault="00205791" w:rsidP="00205791">
      <w:pPr>
        <w:pStyle w:val="Sinespaciado"/>
        <w:jc w:val="both"/>
        <w:rPr>
          <w:rFonts w:ascii="Century Gothic" w:hAnsi="Century Gothic" w:cs="Arial"/>
          <w:sz w:val="21"/>
          <w:szCs w:val="21"/>
        </w:rPr>
      </w:pPr>
    </w:p>
    <w:p w14:paraId="227AF0F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Estado Procesal Actual.-</w:t>
      </w:r>
      <w:r w:rsidRPr="009D734A">
        <w:rPr>
          <w:rFonts w:ascii="Century Gothic" w:hAnsi="Century Gothic" w:cs="Arial"/>
          <w:sz w:val="21"/>
          <w:szCs w:val="21"/>
        </w:rPr>
        <w:t xml:space="preserve"> En fecha 18 de noviembre de 2020, se emitió sentencia definitiva, en el cual el Tribunal de lo Contencioso Administrativo del Municipio de Mérida, se declaró incompetente, por razón de materia, para conocer del Recurso de Revisión. </w:t>
      </w:r>
    </w:p>
    <w:p w14:paraId="617BC105" w14:textId="77777777" w:rsidR="00205791" w:rsidRPr="009D734A" w:rsidRDefault="00205791" w:rsidP="00205791">
      <w:pPr>
        <w:jc w:val="both"/>
        <w:rPr>
          <w:rFonts w:ascii="Century Gothic" w:hAnsi="Century Gothic" w:cs="Arial"/>
          <w:sz w:val="21"/>
          <w:szCs w:val="21"/>
        </w:rPr>
      </w:pPr>
    </w:p>
    <w:p w14:paraId="63A8D5F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5F25A6A5" w14:textId="77777777" w:rsidR="00205791" w:rsidRPr="009D734A" w:rsidRDefault="00205791" w:rsidP="00205791">
      <w:pPr>
        <w:jc w:val="both"/>
        <w:rPr>
          <w:rFonts w:ascii="Century Gothic" w:hAnsi="Century Gothic" w:cs="Arial"/>
          <w:sz w:val="21"/>
          <w:szCs w:val="21"/>
        </w:rPr>
      </w:pPr>
    </w:p>
    <w:p w14:paraId="4276E514"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1.- Deje insubsistente el acto reclamado y</w:t>
      </w:r>
    </w:p>
    <w:p w14:paraId="663F01A3"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2.-  Dicte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9D734A" w:rsidRDefault="00205791" w:rsidP="00205791">
      <w:pPr>
        <w:jc w:val="both"/>
        <w:rPr>
          <w:rFonts w:ascii="Century Gothic" w:hAnsi="Century Gothic" w:cs="Arial"/>
          <w:sz w:val="21"/>
          <w:szCs w:val="21"/>
        </w:rPr>
      </w:pPr>
    </w:p>
    <w:p w14:paraId="38DF1F37" w14:textId="1F2F6A03"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Tribunal de lo Contencioso Administrativo del Municipio de Mérida, en cumplimiento de la ejecutoria emitida por el Tribunal Colegiado en Materias Penal y Administrativa 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9D734A">
        <w:rPr>
          <w:rFonts w:ascii="Century Gothic" w:hAnsi="Century Gothic" w:cs="Arial"/>
          <w:sz w:val="21"/>
          <w:szCs w:val="21"/>
        </w:rPr>
        <w:t>o</w:t>
      </w:r>
      <w:r w:rsidR="00392761" w:rsidRPr="009D734A">
        <w:rPr>
          <w:rFonts w:ascii="Century Gothic" w:hAnsi="Century Gothic" w:cs="Arial"/>
          <w:sz w:val="21"/>
          <w:szCs w:val="21"/>
        </w:rPr>
        <w:t>. E</w:t>
      </w:r>
      <w:r w:rsidR="00DA68D2" w:rsidRPr="009D734A">
        <w:rPr>
          <w:rFonts w:ascii="Century Gothic" w:hAnsi="Century Gothic" w:cs="Arial"/>
          <w:sz w:val="21"/>
          <w:szCs w:val="21"/>
        </w:rPr>
        <w:t>n fecha 31 de marzo de 202</w:t>
      </w:r>
      <w:r w:rsidR="00FB1066" w:rsidRPr="009D734A">
        <w:rPr>
          <w:rFonts w:ascii="Century Gothic" w:hAnsi="Century Gothic" w:cs="Arial"/>
          <w:sz w:val="21"/>
          <w:szCs w:val="21"/>
        </w:rPr>
        <w:t>2</w:t>
      </w:r>
      <w:r w:rsidR="00DA68D2" w:rsidRPr="009D734A">
        <w:rPr>
          <w:rFonts w:ascii="Century Gothic" w:hAnsi="Century Gothic" w:cs="Arial"/>
          <w:sz w:val="21"/>
          <w:szCs w:val="21"/>
        </w:rPr>
        <w:t xml:space="preserve">, se notificó </w:t>
      </w:r>
      <w:r w:rsidR="00392761" w:rsidRPr="009D734A">
        <w:rPr>
          <w:rFonts w:ascii="Century Gothic" w:hAnsi="Century Gothic" w:cs="Arial"/>
          <w:sz w:val="21"/>
          <w:szCs w:val="21"/>
        </w:rPr>
        <w:t xml:space="preserve">al Ayuntamiento de Mérida </w:t>
      </w:r>
      <w:r w:rsidR="00DA68D2" w:rsidRPr="009D734A">
        <w:rPr>
          <w:rFonts w:ascii="Century Gothic" w:hAnsi="Century Gothic" w:cs="Arial"/>
          <w:sz w:val="21"/>
          <w:szCs w:val="21"/>
        </w:rPr>
        <w:t>la ampliación de la demanda de los quejosos</w:t>
      </w:r>
      <w:r w:rsidR="00321443" w:rsidRPr="009D734A">
        <w:rPr>
          <w:rFonts w:ascii="Century Gothic" w:hAnsi="Century Gothic" w:cs="Arial"/>
          <w:sz w:val="21"/>
          <w:szCs w:val="21"/>
        </w:rPr>
        <w:t>.</w:t>
      </w:r>
    </w:p>
    <w:p w14:paraId="7902B6B9" w14:textId="7828DBE7" w:rsidR="00076125" w:rsidRPr="009D734A" w:rsidRDefault="00076125" w:rsidP="00205791">
      <w:pPr>
        <w:jc w:val="both"/>
        <w:rPr>
          <w:rFonts w:ascii="Century Gothic" w:hAnsi="Century Gothic" w:cs="Arial"/>
          <w:sz w:val="21"/>
          <w:szCs w:val="21"/>
        </w:rPr>
      </w:pPr>
    </w:p>
    <w:p w14:paraId="52892122" w14:textId="72EE5E28" w:rsidR="00076125" w:rsidRPr="009D734A" w:rsidRDefault="00076125" w:rsidP="00045BD2">
      <w:pPr>
        <w:ind w:firstLine="1"/>
        <w:jc w:val="both"/>
        <w:rPr>
          <w:rFonts w:ascii="Century Gothic" w:hAnsi="Century Gothic" w:cs="Arial"/>
          <w:sz w:val="21"/>
          <w:szCs w:val="21"/>
        </w:rPr>
      </w:pPr>
      <w:r w:rsidRPr="009D734A">
        <w:rPr>
          <w:rFonts w:ascii="Century Gothic" w:hAnsi="Century Gothic" w:cs="Arial"/>
          <w:sz w:val="21"/>
          <w:szCs w:val="21"/>
        </w:rPr>
        <w:t xml:space="preserve">El 24 de junio de 2022, </w:t>
      </w:r>
      <w:r w:rsidR="00133DA5" w:rsidRPr="009D734A">
        <w:rPr>
          <w:rFonts w:ascii="Century Gothic" w:hAnsi="Century Gothic" w:cs="Arial"/>
          <w:sz w:val="21"/>
          <w:szCs w:val="21"/>
        </w:rPr>
        <w:t>se presentaron los alegatos correspondientes</w:t>
      </w:r>
      <w:r w:rsidR="00045BD2" w:rsidRPr="009D734A">
        <w:rPr>
          <w:rFonts w:ascii="Century Gothic" w:hAnsi="Century Gothic" w:cs="Arial"/>
          <w:sz w:val="21"/>
          <w:szCs w:val="21"/>
        </w:rPr>
        <w:t>, pendiente salga publicado el cierre de instrucción.</w:t>
      </w:r>
    </w:p>
    <w:p w14:paraId="0B98CA74" w14:textId="77777777" w:rsidR="00DA68D2" w:rsidRPr="009D734A" w:rsidRDefault="00DA68D2" w:rsidP="00205791">
      <w:pPr>
        <w:jc w:val="both"/>
        <w:rPr>
          <w:rFonts w:ascii="Century Gothic" w:hAnsi="Century Gothic" w:cs="Arial"/>
          <w:sz w:val="21"/>
          <w:szCs w:val="21"/>
        </w:rPr>
      </w:pPr>
    </w:p>
    <w:p w14:paraId="62BD5B0B" w14:textId="77777777" w:rsidR="00205791" w:rsidRPr="009D734A" w:rsidRDefault="00205791" w:rsidP="00205791">
      <w:pPr>
        <w:pStyle w:val="Prrafodelista"/>
        <w:numPr>
          <w:ilvl w:val="0"/>
          <w:numId w:val="4"/>
        </w:numPr>
        <w:rPr>
          <w:rFonts w:ascii="Century Gothic" w:hAnsi="Century Gothic" w:cs="Arial"/>
          <w:b/>
          <w:spacing w:val="20"/>
          <w:sz w:val="21"/>
          <w:szCs w:val="21"/>
          <w:lang w:val="es-ES" w:eastAsia="es-ES"/>
        </w:rPr>
      </w:pPr>
      <w:r w:rsidRPr="009D734A">
        <w:rPr>
          <w:rFonts w:ascii="Century Gothic" w:hAnsi="Century Gothic" w:cs="Arial"/>
          <w:b/>
          <w:spacing w:val="20"/>
          <w:sz w:val="21"/>
          <w:szCs w:val="21"/>
          <w:lang w:val="es-ES" w:eastAsia="es-ES"/>
        </w:rPr>
        <w:t>Juicio de luminarias.</w:t>
      </w:r>
    </w:p>
    <w:p w14:paraId="155A9B93" w14:textId="53EA2D0B" w:rsidR="00205791" w:rsidRDefault="00205791" w:rsidP="00205791">
      <w:pPr>
        <w:jc w:val="both"/>
        <w:rPr>
          <w:rFonts w:ascii="Century Gothic" w:eastAsia="Calibri" w:hAnsi="Century Gothic" w:cs="Arial"/>
          <w:sz w:val="21"/>
          <w:szCs w:val="21"/>
          <w:u w:val="single"/>
        </w:rPr>
      </w:pPr>
      <w:r w:rsidRPr="009D734A">
        <w:rPr>
          <w:rFonts w:ascii="Century Gothic" w:hAnsi="Century Gothic" w:cs="Arial"/>
          <w:sz w:val="21"/>
          <w:szCs w:val="21"/>
        </w:rPr>
        <w:t xml:space="preserve">El veintidós de abril de dos mil trece, el H. Ayuntamiento de Mérida, da por terminado anticipadamente el Contrato de Arrendamiento derivado de la Licitación Pública  DA-2011-LUMINARIAS-01-01 adjudicado a la empresa </w:t>
      </w:r>
      <w:r w:rsidRPr="009D734A">
        <w:rPr>
          <w:rFonts w:ascii="Century Gothic" w:eastAsia="Calibri" w:hAnsi="Century Gothic" w:cs="Arial"/>
          <w:sz w:val="21"/>
          <w:szCs w:val="21"/>
        </w:rPr>
        <w:t xml:space="preserve">AB&amp;C Leasing de México, S.A.P.I., de C.V., misma que </w:t>
      </w:r>
      <w:r w:rsidRPr="009D734A">
        <w:rPr>
          <w:rFonts w:ascii="Century Gothic" w:hAnsi="Century Gothic" w:cs="Arial"/>
          <w:sz w:val="21"/>
          <w:szCs w:val="21"/>
        </w:rPr>
        <w:t xml:space="preserve">interpone demanda de Nulidad en  Juicio Contencioso Administrativo, </w:t>
      </w:r>
      <w:r w:rsidRPr="009D734A">
        <w:rPr>
          <w:rFonts w:ascii="Century Gothic" w:eastAsia="Calibri" w:hAnsi="Century Gothic" w:cs="Arial"/>
          <w:sz w:val="21"/>
          <w:szCs w:val="21"/>
        </w:rPr>
        <w:t xml:space="preserve">ante el Tribunal de Justicia Electoral y Administrativa del Poder Judicial del Estado de Yucatán, en contra del Acuerdo anterior, al que se le asignó el número de expediente </w:t>
      </w:r>
      <w:r w:rsidRPr="009D734A">
        <w:rPr>
          <w:rFonts w:ascii="Century Gothic" w:eastAsia="Calibri" w:hAnsi="Century Gothic" w:cs="Arial"/>
          <w:sz w:val="21"/>
          <w:szCs w:val="21"/>
          <w:u w:val="single"/>
        </w:rPr>
        <w:t>119/2013.</w:t>
      </w:r>
    </w:p>
    <w:p w14:paraId="59CEE3A0" w14:textId="77777777" w:rsidR="007F23BA" w:rsidRPr="009D734A" w:rsidRDefault="007F23BA" w:rsidP="00205791">
      <w:pPr>
        <w:jc w:val="both"/>
        <w:rPr>
          <w:rFonts w:ascii="Century Gothic" w:eastAsia="Calibri" w:hAnsi="Century Gothic" w:cs="Arial"/>
          <w:sz w:val="21"/>
          <w:szCs w:val="21"/>
          <w:u w:val="single"/>
        </w:rPr>
      </w:pPr>
      <w:bookmarkStart w:id="0" w:name="_GoBack"/>
      <w:bookmarkEnd w:id="0"/>
    </w:p>
    <w:p w14:paraId="500F236E" w14:textId="77777777" w:rsidR="00205791" w:rsidRPr="009D734A" w:rsidRDefault="00205791" w:rsidP="00205791">
      <w:pPr>
        <w:rPr>
          <w:rFonts w:ascii="Century Gothic" w:eastAsia="Calibri" w:hAnsi="Century Gothic" w:cs="Arial"/>
          <w:sz w:val="21"/>
          <w:szCs w:val="21"/>
          <w:u w:val="single"/>
        </w:rPr>
      </w:pPr>
    </w:p>
    <w:p w14:paraId="6FCF024F" w14:textId="77777777" w:rsidR="00205791" w:rsidRPr="009D734A" w:rsidRDefault="00205791" w:rsidP="00205791">
      <w:pPr>
        <w:pStyle w:val="Sinespaciado"/>
        <w:jc w:val="both"/>
        <w:rPr>
          <w:rFonts w:ascii="Century Gothic" w:hAnsi="Century Gothic" w:cs="Arial"/>
          <w:sz w:val="21"/>
          <w:szCs w:val="21"/>
          <w:u w:val="single"/>
        </w:rPr>
      </w:pPr>
      <w:r w:rsidRPr="009D734A">
        <w:rPr>
          <w:rFonts w:ascii="Century Gothic" w:hAnsi="Century Gothic" w:cs="Arial"/>
          <w:sz w:val="21"/>
          <w:szCs w:val="21"/>
        </w:rPr>
        <w:lastRenderedPageBreak/>
        <w:t xml:space="preserve">En sentencia de fecha </w:t>
      </w:r>
      <w:r w:rsidRPr="009D734A">
        <w:rPr>
          <w:rFonts w:ascii="Century Gothic" w:hAnsi="Century Gothic" w:cs="Arial"/>
          <w:sz w:val="21"/>
          <w:szCs w:val="21"/>
          <w:u w:val="single"/>
        </w:rPr>
        <w:t>cinco de marzo del año dos mil catorce</w:t>
      </w:r>
      <w:r w:rsidRPr="009D734A">
        <w:rPr>
          <w:rFonts w:ascii="Century Gothic" w:hAnsi="Century Gothic" w:cs="Arial"/>
          <w:sz w:val="21"/>
          <w:szCs w:val="21"/>
        </w:rPr>
        <w:t xml:space="preserve">, notificada hasta el día </w:t>
      </w:r>
      <w:r w:rsidRPr="009D734A">
        <w:rPr>
          <w:rFonts w:ascii="Century Gothic" w:hAnsi="Century Gothic" w:cs="Arial"/>
          <w:sz w:val="21"/>
          <w:szCs w:val="21"/>
          <w:u w:val="single"/>
        </w:rPr>
        <w:t>quince de marzo de dos mil quince</w:t>
      </w:r>
      <w:r w:rsidRPr="009D734A">
        <w:rPr>
          <w:rFonts w:ascii="Century Gothic" w:hAnsi="Century Gothic" w:cs="Arial"/>
          <w:sz w:val="21"/>
          <w:szCs w:val="21"/>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14:paraId="7398783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 </w:t>
      </w:r>
    </w:p>
    <w:p w14:paraId="3B4A0A4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9D734A" w:rsidRDefault="00205791" w:rsidP="00205791">
      <w:pPr>
        <w:pStyle w:val="Sinespaciado"/>
        <w:jc w:val="both"/>
        <w:rPr>
          <w:rFonts w:ascii="Century Gothic" w:hAnsi="Century Gothic" w:cs="Arial"/>
          <w:sz w:val="21"/>
          <w:szCs w:val="21"/>
        </w:rPr>
      </w:pPr>
    </w:p>
    <w:p w14:paraId="2B3E290E"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14:paraId="0AB9CE30" w14:textId="77777777" w:rsidR="00205791" w:rsidRPr="009D734A" w:rsidRDefault="00205791" w:rsidP="00205791">
      <w:pPr>
        <w:pStyle w:val="Sinespaciado"/>
        <w:jc w:val="both"/>
        <w:rPr>
          <w:rFonts w:ascii="Century Gothic" w:hAnsi="Century Gothic" w:cs="Arial"/>
          <w:sz w:val="21"/>
          <w:szCs w:val="21"/>
        </w:rPr>
      </w:pPr>
    </w:p>
    <w:p w14:paraId="1527C196"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14:paraId="313A492C" w14:textId="77777777" w:rsidR="00205791" w:rsidRPr="009D734A" w:rsidRDefault="00205791" w:rsidP="00205791">
      <w:pPr>
        <w:pStyle w:val="Sinespaciado"/>
        <w:jc w:val="both"/>
        <w:rPr>
          <w:rFonts w:ascii="Century Gothic" w:eastAsiaTheme="minorHAnsi" w:hAnsi="Century Gothic" w:cs="Arial"/>
          <w:sz w:val="21"/>
          <w:szCs w:val="21"/>
        </w:rPr>
      </w:pPr>
    </w:p>
    <w:p w14:paraId="2415E0D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14:paraId="76609437" w14:textId="77777777" w:rsidR="00205791" w:rsidRPr="009D734A" w:rsidRDefault="00205791" w:rsidP="00205791">
      <w:pPr>
        <w:pStyle w:val="Sinespaciado"/>
        <w:jc w:val="both"/>
        <w:rPr>
          <w:rFonts w:ascii="Century Gothic" w:hAnsi="Century Gothic" w:cs="Arial"/>
          <w:sz w:val="21"/>
          <w:szCs w:val="21"/>
        </w:rPr>
      </w:pPr>
    </w:p>
    <w:p w14:paraId="7222ED9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D734A">
        <w:rPr>
          <w:rFonts w:ascii="Century Gothic" w:hAnsi="Century Gothic" w:cs="Arial"/>
          <w:sz w:val="21"/>
          <w:szCs w:val="21"/>
          <w:u w:val="single"/>
        </w:rPr>
        <w:t>cinco de marzo del año dos mil catorce.</w:t>
      </w:r>
    </w:p>
    <w:p w14:paraId="41011A50" w14:textId="77777777" w:rsidR="00205791" w:rsidRPr="009D734A" w:rsidRDefault="00205791" w:rsidP="00205791">
      <w:pPr>
        <w:pStyle w:val="Sinespaciado"/>
        <w:jc w:val="both"/>
        <w:rPr>
          <w:rFonts w:ascii="Century Gothic" w:hAnsi="Century Gothic" w:cs="Arial"/>
          <w:sz w:val="21"/>
          <w:szCs w:val="21"/>
        </w:rPr>
      </w:pPr>
    </w:p>
    <w:p w14:paraId="625B36E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w:t>
      </w:r>
      <w:r w:rsidRPr="009D734A">
        <w:rPr>
          <w:rFonts w:ascii="Century Gothic" w:hAnsi="Century Gothic" w:cs="Arial"/>
          <w:sz w:val="21"/>
          <w:szCs w:val="21"/>
        </w:rPr>
        <w:lastRenderedPageBreak/>
        <w:t>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6056B6A0" w14:textId="77777777" w:rsidR="00205791" w:rsidRPr="009D734A" w:rsidRDefault="00205791" w:rsidP="00205791">
      <w:pPr>
        <w:pStyle w:val="Sinespaciado"/>
        <w:jc w:val="both"/>
        <w:rPr>
          <w:rFonts w:ascii="Century Gothic" w:hAnsi="Century Gothic" w:cs="Arial"/>
          <w:sz w:val="21"/>
          <w:szCs w:val="21"/>
        </w:rPr>
      </w:pPr>
    </w:p>
    <w:p w14:paraId="79A90F7C"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9D734A" w:rsidRDefault="00205791" w:rsidP="00205791">
      <w:pPr>
        <w:pStyle w:val="Sinespaciado"/>
        <w:jc w:val="both"/>
        <w:rPr>
          <w:rFonts w:ascii="Century Gothic" w:hAnsi="Century Gothic" w:cs="Arial"/>
          <w:sz w:val="21"/>
          <w:szCs w:val="21"/>
        </w:rPr>
      </w:pPr>
    </w:p>
    <w:p w14:paraId="28C5DBB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9D734A" w:rsidRDefault="00205791" w:rsidP="00205791">
      <w:pPr>
        <w:pStyle w:val="Sinespaciado"/>
        <w:jc w:val="both"/>
        <w:rPr>
          <w:rFonts w:ascii="Century Gothic" w:hAnsi="Century Gothic" w:cs="Arial"/>
          <w:sz w:val="21"/>
          <w:szCs w:val="21"/>
        </w:rPr>
      </w:pPr>
    </w:p>
    <w:p w14:paraId="0287B1B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2ABA53D0" w14:textId="77777777" w:rsidR="00205791" w:rsidRPr="009D734A" w:rsidRDefault="00205791" w:rsidP="00205791">
      <w:pPr>
        <w:pStyle w:val="Sinespaciado"/>
        <w:jc w:val="both"/>
        <w:rPr>
          <w:rFonts w:ascii="Century Gothic" w:hAnsi="Century Gothic" w:cs="Arial"/>
          <w:sz w:val="21"/>
          <w:szCs w:val="21"/>
        </w:rPr>
      </w:pPr>
    </w:p>
    <w:p w14:paraId="492E163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9D734A" w:rsidRDefault="00205791" w:rsidP="00205791">
      <w:pPr>
        <w:pStyle w:val="Sinespaciado"/>
        <w:jc w:val="both"/>
        <w:rPr>
          <w:rFonts w:ascii="Century Gothic" w:hAnsi="Century Gothic" w:cs="Arial"/>
          <w:sz w:val="21"/>
          <w:szCs w:val="21"/>
        </w:rPr>
      </w:pPr>
    </w:p>
    <w:p w14:paraId="07BE7D69"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5CF28D1"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25 de agosto de 2021, se realizó el requerimiento de pago y embargo al H. Ayuntamiento de Mérida, sin embargo con fecha 29 de septiembre de 2021, se emitió sentencia por parte del Juzgado Cuarto de Distrito en Materia Civil en la Ciudad de </w:t>
      </w:r>
      <w:r w:rsidRPr="009D734A">
        <w:rPr>
          <w:rFonts w:ascii="Century Gothic" w:eastAsia="Century Gothic" w:hAnsi="Century Gothic" w:cs="Arial"/>
          <w:color w:val="000000"/>
          <w:sz w:val="21"/>
          <w:szCs w:val="21"/>
        </w:rPr>
        <w:lastRenderedPageBreak/>
        <w:t>México, en el sentido de dejar sin efecto las actuaciones emitidas en pretendido cumplimiento a la ejecutoria, por la que se ordenó el requerimiento de pago y/o embargo al Municipio de Mérida.</w:t>
      </w:r>
    </w:p>
    <w:p w14:paraId="175D9E5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D901CDC" w14:textId="132DBFC6"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Pr="009D734A"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5286054D" w14:textId="12002DA5" w:rsidR="00AA35D6" w:rsidRPr="009D734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El día 22</w:t>
      </w:r>
      <w:r w:rsidR="00AA35D6" w:rsidRPr="009D734A">
        <w:rPr>
          <w:rFonts w:ascii="Century Gothic" w:eastAsia="Century Gothic" w:hAnsi="Century Gothic" w:cs="Arial"/>
          <w:color w:val="000000"/>
          <w:sz w:val="21"/>
          <w:szCs w:val="21"/>
        </w:rPr>
        <w:t xml:space="preserve"> de marzo de 2022, se rindió informe justificado en autos del Juicio de amparo 920/2022, del Juzgado Sexto de Distrito en Materia Civil en la Ciudad de Méxi</w:t>
      </w:r>
      <w:r w:rsidR="00D97854" w:rsidRPr="009D734A">
        <w:rPr>
          <w:rFonts w:ascii="Century Gothic" w:eastAsia="Century Gothic" w:hAnsi="Century Gothic" w:cs="Arial"/>
          <w:color w:val="000000"/>
          <w:sz w:val="21"/>
          <w:szCs w:val="21"/>
        </w:rPr>
        <w:t>co</w:t>
      </w:r>
      <w:r w:rsidR="006F7F2D" w:rsidRPr="009D734A">
        <w:rPr>
          <w:rFonts w:ascii="Century Gothic" w:eastAsia="Century Gothic" w:hAnsi="Century Gothic" w:cs="Arial"/>
          <w:color w:val="000000"/>
          <w:sz w:val="21"/>
          <w:szCs w:val="21"/>
        </w:rPr>
        <w:t>,</w:t>
      </w:r>
      <w:r w:rsidR="00D97854" w:rsidRPr="009D734A">
        <w:rPr>
          <w:rFonts w:ascii="Century Gothic" w:eastAsia="Century Gothic" w:hAnsi="Century Gothic" w:cs="Arial"/>
          <w:color w:val="000000"/>
          <w:sz w:val="21"/>
          <w:szCs w:val="21"/>
        </w:rPr>
        <w:t xml:space="preserve"> promovido por Banco Santander (</w:t>
      </w:r>
      <w:r w:rsidR="004B5242" w:rsidRPr="009D734A">
        <w:rPr>
          <w:rFonts w:ascii="Century Gothic" w:eastAsia="Century Gothic" w:hAnsi="Century Gothic" w:cs="Arial"/>
          <w:color w:val="000000"/>
          <w:sz w:val="21"/>
          <w:szCs w:val="21"/>
        </w:rPr>
        <w:t>México</w:t>
      </w:r>
      <w:r w:rsidR="00D97854" w:rsidRPr="009D734A">
        <w:rPr>
          <w:rFonts w:ascii="Century Gothic" w:eastAsia="Century Gothic" w:hAnsi="Century Gothic" w:cs="Arial"/>
          <w:color w:val="000000"/>
          <w:sz w:val="21"/>
          <w:szCs w:val="21"/>
        </w:rPr>
        <w:t xml:space="preserve">), S.A., Institución de Banca </w:t>
      </w:r>
      <w:r w:rsidR="004B5242" w:rsidRPr="009D734A">
        <w:rPr>
          <w:rFonts w:ascii="Century Gothic" w:eastAsia="Century Gothic" w:hAnsi="Century Gothic" w:cs="Arial"/>
          <w:color w:val="000000"/>
          <w:sz w:val="21"/>
          <w:szCs w:val="21"/>
        </w:rPr>
        <w:t>Múltiple</w:t>
      </w:r>
      <w:r w:rsidR="00D97854" w:rsidRPr="009D734A">
        <w:rPr>
          <w:rFonts w:ascii="Century Gothic" w:eastAsia="Century Gothic" w:hAnsi="Century Gothic" w:cs="Arial"/>
          <w:color w:val="000000"/>
          <w:sz w:val="21"/>
          <w:szCs w:val="21"/>
        </w:rPr>
        <w:t>, Grupo Financiero Santander</w:t>
      </w:r>
      <w:r w:rsidR="00A3276C" w:rsidRPr="009D734A">
        <w:rPr>
          <w:rFonts w:ascii="Century Gothic" w:eastAsia="Century Gothic" w:hAnsi="Century Gothic" w:cs="Arial"/>
          <w:color w:val="000000"/>
          <w:sz w:val="21"/>
          <w:szCs w:val="21"/>
        </w:rPr>
        <w:t>, por la abstinencia del Municipio de Mérida, Yucatán, de dar cumplimiento a la sentencia interlocutoria del 31 de octubre del 2018.</w:t>
      </w:r>
    </w:p>
    <w:p w14:paraId="2BE3BFE6" w14:textId="5B45B3CB" w:rsidR="000861AB" w:rsidRPr="009D734A" w:rsidRDefault="000861AB"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C0F5966" w14:textId="20B71108" w:rsidR="000861AB"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 xml:space="preserve">En fecha 12 de septiembre de 2021, se emitió sentencia en el Juicio de Amparo 920/2022, del Juzgado Sexto de Distrito en Materia Civil en la Ciudad de México, en el cual Amparó y Protegió a </w:t>
      </w:r>
      <w:r w:rsidRPr="009D734A">
        <w:rPr>
          <w:rFonts w:ascii="Century Gothic" w:eastAsia="Century Gothic" w:hAnsi="Century Gothic" w:cs="Arial"/>
          <w:color w:val="000000"/>
          <w:sz w:val="21"/>
          <w:szCs w:val="21"/>
        </w:rPr>
        <w:t xml:space="preserve">Banco Santander (México), S.A., Institución de Banca Múltiple, Grupo Financiero Santander en contra del acto que reclamo del Municipio de Mérida, para efectos de que </w:t>
      </w:r>
      <w:r w:rsidRPr="009D734A">
        <w:rPr>
          <w:rFonts w:ascii="Century Gothic" w:hAnsi="Century Gothic"/>
          <w:sz w:val="21"/>
          <w:szCs w:val="21"/>
        </w:rPr>
        <w:t>el</w:t>
      </w:r>
      <w:r w:rsidR="000861AB" w:rsidRPr="009D734A">
        <w:rPr>
          <w:rFonts w:ascii="Century Gothic" w:hAnsi="Century Gothic"/>
          <w:sz w:val="21"/>
          <w:szCs w:val="21"/>
        </w:rPr>
        <w:t xml:space="preserve"> Municipio de Mérida, Yucatán, dé puntual y cabal cumplimiento a la sentencia de treinta y uno de octubre de dos mil dieciocho, dictada dentro de los autos del juicio ordinario mercantil </w:t>
      </w:r>
      <w:r w:rsidRPr="009D734A">
        <w:rPr>
          <w:rFonts w:ascii="Century Gothic" w:hAnsi="Century Gothic" w:cs="Arial"/>
          <w:sz w:val="21"/>
          <w:szCs w:val="21"/>
        </w:rPr>
        <w:t>498</w:t>
      </w:r>
      <w:r w:rsidR="000861AB" w:rsidRPr="009D734A">
        <w:rPr>
          <w:rFonts w:ascii="Century Gothic" w:hAnsi="Century Gothic"/>
          <w:sz w:val="21"/>
          <w:szCs w:val="21"/>
        </w:rPr>
        <w:t xml:space="preserve">/2013, </w:t>
      </w:r>
      <w:r w:rsidRPr="009D734A">
        <w:rPr>
          <w:rFonts w:ascii="Century Gothic" w:hAnsi="Century Gothic"/>
          <w:sz w:val="21"/>
          <w:szCs w:val="21"/>
        </w:rPr>
        <w:t>radicado en e</w:t>
      </w:r>
      <w:r w:rsidR="000861AB" w:rsidRPr="009D734A">
        <w:rPr>
          <w:rFonts w:ascii="Century Gothic" w:hAnsi="Century Gothic"/>
          <w:sz w:val="21"/>
          <w:szCs w:val="21"/>
        </w:rPr>
        <w:t>l Juzgado Tercero de Distrito en Materia Civil en la Cuidad de México</w:t>
      </w:r>
      <w:r w:rsidRPr="009D734A">
        <w:rPr>
          <w:rFonts w:ascii="Century Gothic" w:hAnsi="Century Gothic"/>
          <w:sz w:val="21"/>
          <w:szCs w:val="21"/>
        </w:rPr>
        <w:t>.</w:t>
      </w:r>
    </w:p>
    <w:p w14:paraId="2A1535ED" w14:textId="0AC28CA8" w:rsidR="00E95436"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p>
    <w:p w14:paraId="649ACE6A" w14:textId="3F373505" w:rsidR="00E95436" w:rsidRPr="009D734A"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hAnsi="Century Gothic"/>
          <w:sz w:val="21"/>
          <w:szCs w:val="21"/>
        </w:rPr>
        <w:t>El día 30 de septiembre de 2022, se interpuso recurso de revisión en contra de la resolución dictada en el Juicio de Amparo 920/2022, del Juzgado Sexto de Distrito en Materia Civil en la Ciudad de México, de fecha 12 de septiembre de 2022.</w:t>
      </w:r>
    </w:p>
    <w:p w14:paraId="1CB0190A" w14:textId="465A4D5D" w:rsidR="00205791" w:rsidRPr="009D734A"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 </w:t>
      </w:r>
    </w:p>
    <w:p w14:paraId="2ABD4483"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TUA 34-704/2019 (Tribunal Unitario Agrario Distrito 34)</w:t>
      </w:r>
    </w:p>
    <w:p w14:paraId="39FA320D" w14:textId="77777777" w:rsidR="00205791" w:rsidRPr="009D734A" w:rsidRDefault="00205791" w:rsidP="00205791">
      <w:pPr>
        <w:pStyle w:val="Sinespaciado"/>
        <w:rPr>
          <w:rFonts w:ascii="Century Gothic" w:hAnsi="Century Gothic" w:cs="Arial"/>
          <w:sz w:val="21"/>
          <w:szCs w:val="21"/>
        </w:rPr>
      </w:pPr>
    </w:p>
    <w:p w14:paraId="4E5EFC1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representantes del comisariado ejidal de Chuburná, en contra del Ayuntamiento de Mérida.</w:t>
      </w:r>
    </w:p>
    <w:p w14:paraId="2CFA7A6A" w14:textId="77777777" w:rsidR="00205791" w:rsidRPr="009D734A" w:rsidRDefault="00205791" w:rsidP="00205791">
      <w:pPr>
        <w:pStyle w:val="Sinespaciado"/>
        <w:jc w:val="both"/>
        <w:rPr>
          <w:rFonts w:ascii="Century Gothic" w:hAnsi="Century Gothic" w:cs="Arial"/>
          <w:sz w:val="21"/>
          <w:szCs w:val="21"/>
        </w:rPr>
      </w:pPr>
    </w:p>
    <w:p w14:paraId="20370FD9"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Restitución a favor del ejido de Chuburná del tablaje catastral número 362118  (Vista Alegre).</w:t>
      </w:r>
    </w:p>
    <w:p w14:paraId="7B67BB6A" w14:textId="77777777" w:rsidR="00205791" w:rsidRPr="009D734A" w:rsidRDefault="00205791" w:rsidP="00205791">
      <w:pPr>
        <w:pStyle w:val="Sinespaciado"/>
        <w:ind w:right="-93"/>
        <w:jc w:val="both"/>
        <w:rPr>
          <w:rFonts w:ascii="Century Gothic" w:hAnsi="Century Gothic" w:cs="Arial"/>
          <w:sz w:val="21"/>
          <w:szCs w:val="21"/>
        </w:rPr>
      </w:pPr>
    </w:p>
    <w:p w14:paraId="558DCB91"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Actual.- </w:t>
      </w:r>
      <w:r w:rsidRPr="009D734A">
        <w:rPr>
          <w:rFonts w:ascii="Century Gothic" w:hAnsi="Century Gothic" w:cs="Arial"/>
          <w:sz w:val="21"/>
          <w:szCs w:val="21"/>
        </w:rPr>
        <w:t xml:space="preserve"> Con fecha 12 de noviembre de 2021, se emitió sentencia favorable al H. Ayuntamiento de Mérida, Yucatán, siendo improcedente la acción del Ejido de Chuburná; no obstante la parte actora promovió Juicio de Amparo Directo y por parte del Ayuntamiento se presentaron los alegatos correspondientes en dicho juicio de amparo, pendiente de resolución.</w:t>
      </w:r>
    </w:p>
    <w:p w14:paraId="3BC74F78" w14:textId="77777777" w:rsidR="00205791" w:rsidRPr="009D734A" w:rsidRDefault="00205791" w:rsidP="00205791">
      <w:pPr>
        <w:pStyle w:val="Sinespaciado"/>
        <w:ind w:right="-93"/>
        <w:jc w:val="both"/>
        <w:rPr>
          <w:rFonts w:ascii="Century Gothic" w:hAnsi="Century Gothic" w:cs="Arial"/>
          <w:sz w:val="21"/>
          <w:szCs w:val="21"/>
        </w:rPr>
      </w:pPr>
    </w:p>
    <w:p w14:paraId="6840879B" w14:textId="26608F71"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lastRenderedPageBreak/>
        <w:t>El proceso se está defendiendo arduamente, no existiendo monto estimado en el presente Juicio.</w:t>
      </w:r>
    </w:p>
    <w:p w14:paraId="616B9D78" w14:textId="77777777" w:rsidR="009D734A" w:rsidRPr="009D734A" w:rsidRDefault="009D734A" w:rsidP="00205791">
      <w:pPr>
        <w:pStyle w:val="Sinespaciado"/>
        <w:ind w:right="-93"/>
        <w:jc w:val="both"/>
        <w:rPr>
          <w:rFonts w:ascii="Century Gothic" w:hAnsi="Century Gothic" w:cs="Arial"/>
          <w:sz w:val="21"/>
          <w:szCs w:val="21"/>
        </w:rPr>
      </w:pPr>
    </w:p>
    <w:p w14:paraId="0E04123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723/2019 (Tribunal Unitario Agrario Distrito 34)</w:t>
      </w:r>
    </w:p>
    <w:p w14:paraId="4D3C2B8A" w14:textId="77777777" w:rsidR="00205791" w:rsidRPr="009D734A" w:rsidRDefault="00205791" w:rsidP="00205791">
      <w:pPr>
        <w:pStyle w:val="Sinespaciado"/>
        <w:rPr>
          <w:rFonts w:ascii="Century Gothic" w:hAnsi="Century Gothic" w:cs="Arial"/>
          <w:sz w:val="21"/>
          <w:szCs w:val="21"/>
        </w:rPr>
      </w:pPr>
    </w:p>
    <w:p w14:paraId="185F194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el Fideicomiso Fondo Nacional de Fomento Ejidal (FIFONAFE), en contra del Ayuntamiento de Mérida.</w:t>
      </w:r>
    </w:p>
    <w:p w14:paraId="1358E7CC" w14:textId="77777777" w:rsidR="00205791" w:rsidRPr="009D734A" w:rsidRDefault="00205791" w:rsidP="00205791">
      <w:pPr>
        <w:pStyle w:val="Sinespaciado"/>
        <w:jc w:val="both"/>
        <w:rPr>
          <w:rFonts w:ascii="Century Gothic" w:hAnsi="Century Gothic" w:cs="Arial"/>
          <w:sz w:val="21"/>
          <w:szCs w:val="21"/>
        </w:rPr>
      </w:pPr>
    </w:p>
    <w:p w14:paraId="54C1496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9D734A" w:rsidRDefault="00205791" w:rsidP="00205791">
      <w:pPr>
        <w:pStyle w:val="Sinespaciado"/>
        <w:ind w:right="-93"/>
        <w:jc w:val="both"/>
        <w:rPr>
          <w:rFonts w:ascii="Century Gothic" w:hAnsi="Century Gothic" w:cs="Arial"/>
          <w:sz w:val="21"/>
          <w:szCs w:val="21"/>
        </w:rPr>
      </w:pPr>
    </w:p>
    <w:p w14:paraId="45575A75" w14:textId="5AD1BD2E"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r w:rsidR="00D42B12" w:rsidRPr="009D734A">
        <w:rPr>
          <w:rFonts w:ascii="Century Gothic" w:hAnsi="Century Gothic" w:cs="Arial"/>
          <w:sz w:val="21"/>
          <w:szCs w:val="21"/>
          <w:u w:val="single"/>
        </w:rPr>
        <w:t>Actual. -</w:t>
      </w:r>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B17CA9" w:rsidRPr="009D734A">
        <w:rPr>
          <w:rFonts w:ascii="Century Gothic" w:hAnsi="Century Gothic" w:cs="Arial"/>
          <w:sz w:val="21"/>
          <w:szCs w:val="21"/>
        </w:rPr>
        <w:t>El 23 de agosto de 2022</w:t>
      </w:r>
      <w:r w:rsidRPr="009D734A">
        <w:rPr>
          <w:rFonts w:ascii="Century Gothic" w:hAnsi="Century Gothic" w:cs="Arial"/>
          <w:sz w:val="21"/>
          <w:szCs w:val="21"/>
        </w:rPr>
        <w:t>, tuvo verificativo la Audiencia de ley</w:t>
      </w:r>
      <w:r w:rsidR="00B17CA9" w:rsidRPr="009D734A">
        <w:rPr>
          <w:rFonts w:ascii="Century Gothic" w:hAnsi="Century Gothic" w:cs="Arial"/>
          <w:sz w:val="21"/>
          <w:szCs w:val="21"/>
        </w:rPr>
        <w:t>, en el cual se tuvo por admitidas las pruebas.</w:t>
      </w:r>
    </w:p>
    <w:p w14:paraId="3B537556" w14:textId="0BC9461A" w:rsidR="00B17CA9" w:rsidRPr="009D734A" w:rsidRDefault="00B17CA9" w:rsidP="00205791">
      <w:pPr>
        <w:pStyle w:val="Sinespaciado"/>
        <w:ind w:right="-93"/>
        <w:jc w:val="both"/>
        <w:rPr>
          <w:rFonts w:ascii="Century Gothic" w:hAnsi="Century Gothic" w:cs="Arial"/>
          <w:sz w:val="21"/>
          <w:szCs w:val="21"/>
        </w:rPr>
      </w:pPr>
    </w:p>
    <w:p w14:paraId="43930F77" w14:textId="7B949B0B" w:rsidR="00B17CA9" w:rsidRPr="009D734A" w:rsidRDefault="00B17CA9"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En fecha 30 de agosto de 2022, se designó perito en materia de topografía y tuvo lugar el desahogo</w:t>
      </w:r>
      <w:r w:rsidR="009D734A" w:rsidRPr="009D734A">
        <w:rPr>
          <w:rFonts w:ascii="Century Gothic" w:hAnsi="Century Gothic" w:cs="Arial"/>
          <w:sz w:val="21"/>
          <w:szCs w:val="21"/>
        </w:rPr>
        <w:t xml:space="preserve"> de</w:t>
      </w:r>
      <w:r w:rsidRPr="009D734A">
        <w:rPr>
          <w:rFonts w:ascii="Century Gothic" w:hAnsi="Century Gothic" w:cs="Arial"/>
          <w:sz w:val="21"/>
          <w:szCs w:val="21"/>
        </w:rPr>
        <w:t xml:space="preserve"> la prueba de inspección judicial.</w:t>
      </w:r>
    </w:p>
    <w:p w14:paraId="433611A5" w14:textId="77777777" w:rsidR="00205791" w:rsidRPr="009D734A" w:rsidRDefault="00205791" w:rsidP="00205791">
      <w:pPr>
        <w:pStyle w:val="Sinespaciado"/>
        <w:ind w:right="-93"/>
        <w:jc w:val="both"/>
        <w:rPr>
          <w:rFonts w:ascii="Century Gothic" w:hAnsi="Century Gothic" w:cs="Arial"/>
          <w:sz w:val="21"/>
          <w:szCs w:val="21"/>
        </w:rPr>
      </w:pPr>
    </w:p>
    <w:p w14:paraId="0C4FCA4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27C96DE5" w14:textId="77777777" w:rsidR="009A67C0" w:rsidRPr="009D734A" w:rsidRDefault="009A67C0" w:rsidP="009A67C0">
      <w:pPr>
        <w:pStyle w:val="Sinespaciado"/>
        <w:ind w:right="-93"/>
        <w:jc w:val="both"/>
        <w:rPr>
          <w:rFonts w:ascii="Century Gothic" w:hAnsi="Century Gothic" w:cs="Arial"/>
          <w:sz w:val="21"/>
          <w:szCs w:val="21"/>
        </w:rPr>
      </w:pPr>
    </w:p>
    <w:p w14:paraId="7589BA49" w14:textId="77777777" w:rsidR="00E049C6" w:rsidRPr="009D734A" w:rsidRDefault="00E049C6" w:rsidP="00E049C6">
      <w:pPr>
        <w:pStyle w:val="Sinespaciado"/>
        <w:ind w:right="-93"/>
        <w:jc w:val="both"/>
        <w:rPr>
          <w:rFonts w:ascii="Century Gothic" w:hAnsi="Century Gothic" w:cs="Arial"/>
          <w:sz w:val="21"/>
          <w:szCs w:val="21"/>
        </w:rPr>
      </w:pPr>
    </w:p>
    <w:p w14:paraId="3FBC8964" w14:textId="77777777" w:rsidR="004213FB" w:rsidRPr="009D734A" w:rsidRDefault="004213FB" w:rsidP="00E049C6">
      <w:pPr>
        <w:pStyle w:val="Sinespaciado"/>
        <w:jc w:val="both"/>
        <w:rPr>
          <w:rFonts w:ascii="Century Gothic" w:hAnsi="Century Gothic" w:cs="Arial"/>
          <w:sz w:val="21"/>
          <w:szCs w:val="21"/>
          <w:lang w:val="es-ES_tradnl"/>
        </w:rPr>
      </w:pPr>
    </w:p>
    <w:sectPr w:rsidR="004213FB" w:rsidRPr="009D73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9CF9" w14:textId="77777777" w:rsidR="00576F59" w:rsidRDefault="00576F59" w:rsidP="005E1221">
      <w:r>
        <w:separator/>
      </w:r>
    </w:p>
  </w:endnote>
  <w:endnote w:type="continuationSeparator" w:id="0">
    <w:p w14:paraId="5DE10AF7" w14:textId="77777777" w:rsidR="00576F59" w:rsidRDefault="00576F59"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6853" w14:textId="77777777" w:rsidR="005E1221" w:rsidRDefault="00CC33AF" w:rsidP="005E1221">
    <w:pPr>
      <w:pStyle w:val="Piedepgina"/>
      <w:tabs>
        <w:tab w:val="clear" w:pos="4419"/>
        <w:tab w:val="clear" w:pos="8838"/>
        <w:tab w:val="left" w:pos="3735"/>
      </w:tabs>
      <w:jc w:val="center"/>
    </w:pPr>
    <w:r>
      <w:rPr>
        <w:noProof/>
        <w:lang w:val="es-MX" w:eastAsia="es-MX"/>
      </w:rPr>
      <w:drawing>
        <wp:anchor distT="0" distB="0" distL="114300" distR="114300" simplePos="0" relativeHeight="251661312" behindDoc="1" locked="0" layoutInCell="1" allowOverlap="1" wp14:anchorId="26423A08" wp14:editId="55B91321">
          <wp:simplePos x="0" y="0"/>
          <wp:positionH relativeFrom="page">
            <wp:align>right</wp:align>
          </wp:positionH>
          <wp:positionV relativeFrom="paragraph">
            <wp:posOffset>-215661</wp:posOffset>
          </wp:positionV>
          <wp:extent cx="7775071" cy="8453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7775071" cy="845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6FD20" w14:textId="77777777" w:rsidR="00576F59" w:rsidRDefault="00576F59" w:rsidP="005E1221">
      <w:r>
        <w:separator/>
      </w:r>
    </w:p>
  </w:footnote>
  <w:footnote w:type="continuationSeparator" w:id="0">
    <w:p w14:paraId="1A9919CE" w14:textId="77777777" w:rsidR="00576F59" w:rsidRDefault="00576F59" w:rsidP="005E1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1753" w14:textId="77777777" w:rsidR="005E1221" w:rsidRDefault="00C70030" w:rsidP="005E1221">
    <w:pPr>
      <w:pStyle w:val="Encabezado"/>
      <w:jc w:val="center"/>
    </w:pPr>
    <w:r>
      <w:rPr>
        <w:noProof/>
        <w:lang w:val="es-MX" w:eastAsia="es-MX"/>
      </w:rPr>
      <w:drawing>
        <wp:anchor distT="0" distB="0" distL="114300" distR="114300" simplePos="0" relativeHeight="251663360" behindDoc="1" locked="0" layoutInCell="1" allowOverlap="1" wp14:anchorId="4D87B7E8" wp14:editId="6AA710F3">
          <wp:simplePos x="0" y="0"/>
          <wp:positionH relativeFrom="margin">
            <wp:align>center</wp:align>
          </wp:positionH>
          <wp:positionV relativeFrom="paragraph">
            <wp:posOffset>-448310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451CF"/>
    <w:rsid w:val="00045BD2"/>
    <w:rsid w:val="00055C36"/>
    <w:rsid w:val="000621DB"/>
    <w:rsid w:val="00062760"/>
    <w:rsid w:val="000741FC"/>
    <w:rsid w:val="00076125"/>
    <w:rsid w:val="000861AB"/>
    <w:rsid w:val="000B02AF"/>
    <w:rsid w:val="000C7FCC"/>
    <w:rsid w:val="000F4D6C"/>
    <w:rsid w:val="001104DA"/>
    <w:rsid w:val="00123715"/>
    <w:rsid w:val="00133DA5"/>
    <w:rsid w:val="001469EB"/>
    <w:rsid w:val="001718D2"/>
    <w:rsid w:val="00177E51"/>
    <w:rsid w:val="00187548"/>
    <w:rsid w:val="001A331A"/>
    <w:rsid w:val="001A7608"/>
    <w:rsid w:val="001C3865"/>
    <w:rsid w:val="001D51B3"/>
    <w:rsid w:val="001D762E"/>
    <w:rsid w:val="001F084B"/>
    <w:rsid w:val="001F0F1E"/>
    <w:rsid w:val="001F12CB"/>
    <w:rsid w:val="00205791"/>
    <w:rsid w:val="00207A6D"/>
    <w:rsid w:val="00247366"/>
    <w:rsid w:val="00247622"/>
    <w:rsid w:val="002521C5"/>
    <w:rsid w:val="0025555C"/>
    <w:rsid w:val="0026628B"/>
    <w:rsid w:val="002A3843"/>
    <w:rsid w:val="002D26E5"/>
    <w:rsid w:val="002D6D78"/>
    <w:rsid w:val="002E2370"/>
    <w:rsid w:val="002F2EF8"/>
    <w:rsid w:val="002F6F9A"/>
    <w:rsid w:val="00304FE8"/>
    <w:rsid w:val="00311650"/>
    <w:rsid w:val="003129D7"/>
    <w:rsid w:val="00321443"/>
    <w:rsid w:val="0033211C"/>
    <w:rsid w:val="00342732"/>
    <w:rsid w:val="0035070E"/>
    <w:rsid w:val="003637F6"/>
    <w:rsid w:val="00365A4A"/>
    <w:rsid w:val="00376C23"/>
    <w:rsid w:val="00387D3D"/>
    <w:rsid w:val="00387D57"/>
    <w:rsid w:val="00392761"/>
    <w:rsid w:val="003A2025"/>
    <w:rsid w:val="003C6303"/>
    <w:rsid w:val="003C71F9"/>
    <w:rsid w:val="003E5EED"/>
    <w:rsid w:val="003E7D2F"/>
    <w:rsid w:val="004151C2"/>
    <w:rsid w:val="00416779"/>
    <w:rsid w:val="0042065A"/>
    <w:rsid w:val="004213FB"/>
    <w:rsid w:val="0044095D"/>
    <w:rsid w:val="0044314C"/>
    <w:rsid w:val="00446FD8"/>
    <w:rsid w:val="00457B4E"/>
    <w:rsid w:val="00462F1F"/>
    <w:rsid w:val="004857DA"/>
    <w:rsid w:val="004B5137"/>
    <w:rsid w:val="004B5242"/>
    <w:rsid w:val="004D49AF"/>
    <w:rsid w:val="0051332E"/>
    <w:rsid w:val="00543605"/>
    <w:rsid w:val="00576F59"/>
    <w:rsid w:val="00585131"/>
    <w:rsid w:val="005877AB"/>
    <w:rsid w:val="00590C9F"/>
    <w:rsid w:val="00596074"/>
    <w:rsid w:val="00597185"/>
    <w:rsid w:val="00597D38"/>
    <w:rsid w:val="005C6F02"/>
    <w:rsid w:val="005E1221"/>
    <w:rsid w:val="005E766B"/>
    <w:rsid w:val="005F37BE"/>
    <w:rsid w:val="00600EA1"/>
    <w:rsid w:val="00606AE8"/>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6CA7"/>
    <w:rsid w:val="006F7F2D"/>
    <w:rsid w:val="007341F9"/>
    <w:rsid w:val="00742829"/>
    <w:rsid w:val="007439D2"/>
    <w:rsid w:val="007446F9"/>
    <w:rsid w:val="00750D97"/>
    <w:rsid w:val="007565B8"/>
    <w:rsid w:val="00773B49"/>
    <w:rsid w:val="007911FB"/>
    <w:rsid w:val="007A230A"/>
    <w:rsid w:val="007A297D"/>
    <w:rsid w:val="007B71E7"/>
    <w:rsid w:val="007D10EE"/>
    <w:rsid w:val="007F0A94"/>
    <w:rsid w:val="007F23BA"/>
    <w:rsid w:val="00812298"/>
    <w:rsid w:val="00842FDA"/>
    <w:rsid w:val="00845AAC"/>
    <w:rsid w:val="008471C4"/>
    <w:rsid w:val="0085237D"/>
    <w:rsid w:val="0087666E"/>
    <w:rsid w:val="00893928"/>
    <w:rsid w:val="00893D38"/>
    <w:rsid w:val="008A3139"/>
    <w:rsid w:val="008B11A1"/>
    <w:rsid w:val="008D66B9"/>
    <w:rsid w:val="009058F7"/>
    <w:rsid w:val="0092776A"/>
    <w:rsid w:val="00944314"/>
    <w:rsid w:val="00950D6F"/>
    <w:rsid w:val="009538DB"/>
    <w:rsid w:val="009648BF"/>
    <w:rsid w:val="0098059F"/>
    <w:rsid w:val="00980C04"/>
    <w:rsid w:val="00985E2E"/>
    <w:rsid w:val="009934B0"/>
    <w:rsid w:val="009A67C0"/>
    <w:rsid w:val="009D734A"/>
    <w:rsid w:val="009E0701"/>
    <w:rsid w:val="009E0D69"/>
    <w:rsid w:val="009F063A"/>
    <w:rsid w:val="009F28DC"/>
    <w:rsid w:val="009F3E8C"/>
    <w:rsid w:val="00A06010"/>
    <w:rsid w:val="00A07C22"/>
    <w:rsid w:val="00A1203F"/>
    <w:rsid w:val="00A13084"/>
    <w:rsid w:val="00A3276C"/>
    <w:rsid w:val="00A42F03"/>
    <w:rsid w:val="00A63E67"/>
    <w:rsid w:val="00AA2610"/>
    <w:rsid w:val="00AA35D6"/>
    <w:rsid w:val="00AD00D3"/>
    <w:rsid w:val="00AF118D"/>
    <w:rsid w:val="00B1191D"/>
    <w:rsid w:val="00B167F0"/>
    <w:rsid w:val="00B17CA9"/>
    <w:rsid w:val="00B222CA"/>
    <w:rsid w:val="00B2644A"/>
    <w:rsid w:val="00B7418D"/>
    <w:rsid w:val="00B804F2"/>
    <w:rsid w:val="00B83400"/>
    <w:rsid w:val="00B92F86"/>
    <w:rsid w:val="00B97866"/>
    <w:rsid w:val="00BC258C"/>
    <w:rsid w:val="00BD3E9C"/>
    <w:rsid w:val="00BF27C9"/>
    <w:rsid w:val="00BF7F90"/>
    <w:rsid w:val="00C01B50"/>
    <w:rsid w:val="00C330DE"/>
    <w:rsid w:val="00C33AD9"/>
    <w:rsid w:val="00C4149D"/>
    <w:rsid w:val="00C54972"/>
    <w:rsid w:val="00C70030"/>
    <w:rsid w:val="00C82E30"/>
    <w:rsid w:val="00C9768F"/>
    <w:rsid w:val="00CA1C96"/>
    <w:rsid w:val="00CA4288"/>
    <w:rsid w:val="00CB09A6"/>
    <w:rsid w:val="00CC33AF"/>
    <w:rsid w:val="00CC3CC7"/>
    <w:rsid w:val="00CC76D2"/>
    <w:rsid w:val="00D01B61"/>
    <w:rsid w:val="00D02878"/>
    <w:rsid w:val="00D42B12"/>
    <w:rsid w:val="00D57C63"/>
    <w:rsid w:val="00D701E3"/>
    <w:rsid w:val="00D941DD"/>
    <w:rsid w:val="00D97854"/>
    <w:rsid w:val="00DA68D2"/>
    <w:rsid w:val="00DC21C0"/>
    <w:rsid w:val="00E002B1"/>
    <w:rsid w:val="00E049C6"/>
    <w:rsid w:val="00E14AEB"/>
    <w:rsid w:val="00E151BA"/>
    <w:rsid w:val="00E25C35"/>
    <w:rsid w:val="00E36E8F"/>
    <w:rsid w:val="00E53EEC"/>
    <w:rsid w:val="00E613F0"/>
    <w:rsid w:val="00E671F3"/>
    <w:rsid w:val="00E83BAF"/>
    <w:rsid w:val="00E86A12"/>
    <w:rsid w:val="00E87562"/>
    <w:rsid w:val="00E9525B"/>
    <w:rsid w:val="00E95436"/>
    <w:rsid w:val="00EA3D8E"/>
    <w:rsid w:val="00EB4978"/>
    <w:rsid w:val="00ED68DD"/>
    <w:rsid w:val="00EE2D5D"/>
    <w:rsid w:val="00F04339"/>
    <w:rsid w:val="00F10263"/>
    <w:rsid w:val="00F3278E"/>
    <w:rsid w:val="00F32D38"/>
    <w:rsid w:val="00F57CB0"/>
    <w:rsid w:val="00F57E2B"/>
    <w:rsid w:val="00F613ED"/>
    <w:rsid w:val="00F65EC5"/>
    <w:rsid w:val="00F825CB"/>
    <w:rsid w:val="00F8315F"/>
    <w:rsid w:val="00F9142A"/>
    <w:rsid w:val="00F9764E"/>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15:docId w15:val="{1BA00AD1-ABB1-4217-B7AB-F627068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5BBA-1993-4CDE-A424-E4C7E339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4407</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Chale Cuytun Gilberto</cp:lastModifiedBy>
  <cp:revision>12</cp:revision>
  <cp:lastPrinted>2022-10-06T13:24:00Z</cp:lastPrinted>
  <dcterms:created xsi:type="dcterms:W3CDTF">2022-10-05T13:30:00Z</dcterms:created>
  <dcterms:modified xsi:type="dcterms:W3CDTF">2022-10-12T18:43:00Z</dcterms:modified>
</cp:coreProperties>
</file>