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B1" w:rsidRPr="003C33D5" w:rsidRDefault="002A79F6"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REGLAMENTO INTERNO DEL COMITÉ TÉCNICO DE EVALUACIÓN Y REVISIÓN PARA LA AUTORIZACIÓN DE NUEVOS DESARROLLOS INMOBILIARIOS.</w:t>
      </w:r>
    </w:p>
    <w:p w:rsidR="002A79F6" w:rsidRPr="003C33D5" w:rsidRDefault="002A79F6" w:rsidP="003C33D5">
      <w:pPr>
        <w:spacing w:after="0" w:line="240" w:lineRule="auto"/>
        <w:jc w:val="both"/>
        <w:rPr>
          <w:rFonts w:ascii="Barlow Light" w:hAnsi="Barlow Light" w:cstheme="majorHAnsi"/>
          <w:lang w:val="es-MX"/>
        </w:rPr>
      </w:pPr>
    </w:p>
    <w:p w:rsidR="002A79F6" w:rsidRDefault="002A79F6"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TEXTO VIGENTE</w:t>
      </w:r>
    </w:p>
    <w:p w:rsidR="003C33D5" w:rsidRPr="003C33D5" w:rsidRDefault="003C33D5" w:rsidP="003C33D5">
      <w:pPr>
        <w:spacing w:after="0" w:line="240" w:lineRule="auto"/>
        <w:jc w:val="center"/>
        <w:rPr>
          <w:rFonts w:ascii="Barlow Light" w:hAnsi="Barlow Light" w:cstheme="majorHAnsi"/>
          <w:b/>
          <w:sz w:val="20"/>
          <w:szCs w:val="20"/>
          <w:lang w:val="es-MX"/>
        </w:rPr>
      </w:pPr>
      <w:r w:rsidRPr="003C33D5">
        <w:rPr>
          <w:rFonts w:ascii="Barlow Light" w:hAnsi="Barlow Light" w:cstheme="majorHAnsi"/>
          <w:b/>
          <w:sz w:val="20"/>
          <w:szCs w:val="20"/>
          <w:lang w:val="es-MX"/>
        </w:rPr>
        <w:t>Nuevo r</w:t>
      </w:r>
      <w:r w:rsidRPr="003C33D5">
        <w:rPr>
          <w:rFonts w:ascii="Barlow Light" w:hAnsi="Barlow Light" w:cstheme="majorHAnsi"/>
          <w:b/>
          <w:sz w:val="20"/>
          <w:szCs w:val="20"/>
          <w:lang w:val="es-MX"/>
        </w:rPr>
        <w:t>eglamento publicado en Gaceta Municipal el 14 de enero de 2013</w:t>
      </w:r>
    </w:p>
    <w:p w:rsidR="003C33D5" w:rsidRPr="003C33D5" w:rsidRDefault="003C33D5" w:rsidP="003C33D5">
      <w:pPr>
        <w:spacing w:after="0" w:line="240" w:lineRule="auto"/>
        <w:jc w:val="center"/>
        <w:rPr>
          <w:rFonts w:ascii="Barlow Light" w:hAnsi="Barlow Light" w:cstheme="majorHAnsi"/>
          <w:b/>
          <w:lang w:val="es-MX"/>
        </w:rPr>
      </w:pPr>
    </w:p>
    <w:p w:rsidR="002A79F6" w:rsidRPr="003C33D5" w:rsidRDefault="002A79F6" w:rsidP="003C33D5">
      <w:pPr>
        <w:spacing w:after="0" w:line="240" w:lineRule="auto"/>
        <w:jc w:val="both"/>
        <w:rPr>
          <w:rFonts w:ascii="Barlow Light" w:hAnsi="Barlow Light" w:cstheme="majorHAnsi"/>
          <w:b/>
          <w:lang w:val="es-MX"/>
        </w:rPr>
      </w:pPr>
      <w:r w:rsidRPr="003C33D5">
        <w:rPr>
          <w:rFonts w:ascii="Barlow Light" w:hAnsi="Barlow Light" w:cstheme="majorHAnsi"/>
          <w:b/>
          <w:lang w:val="es-MX"/>
        </w:rPr>
        <w:t>AYUNTAMIENTO CONSTITUCIONAL DEL MUNICIPIO DE MÉRIDA A LOS HABITANTES DEL MUNICIPIO MISMO SE LES HACE SABER: Que en fecha 19 de diciembre del año dos mil doce,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y 70 fracción VI del Reglamento de la Ley de Desarrollos Inmobiliarios del Estado de Yucatán, aprobó el siguiente:</w:t>
      </w:r>
    </w:p>
    <w:p w:rsidR="00DD1869" w:rsidRPr="003C33D5" w:rsidRDefault="00DD1869" w:rsidP="003C33D5">
      <w:pPr>
        <w:spacing w:after="0" w:line="240" w:lineRule="auto"/>
        <w:jc w:val="both"/>
        <w:rPr>
          <w:rFonts w:ascii="Barlow Light" w:hAnsi="Barlow Light" w:cstheme="majorHAnsi"/>
          <w:b/>
          <w:lang w:val="es-MX"/>
        </w:rPr>
      </w:pPr>
    </w:p>
    <w:p w:rsidR="001278FC" w:rsidRPr="003C33D5" w:rsidRDefault="001278FC"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REGLAMENTO INTERNO DEL COMITÉ TÉCNICO DE EVALUACIÓN Y REVISIÓN PARA LA AUTORIZACIÓN DE NUEVOS DESARROLLOS INMOBILIARIOS.</w:t>
      </w:r>
    </w:p>
    <w:p w:rsidR="003C33D5" w:rsidRDefault="003C33D5" w:rsidP="003C33D5">
      <w:pPr>
        <w:spacing w:after="0" w:line="240" w:lineRule="auto"/>
        <w:jc w:val="center"/>
        <w:rPr>
          <w:rFonts w:ascii="Barlow Light" w:hAnsi="Barlow Light" w:cstheme="majorHAnsi"/>
          <w:b/>
          <w:lang w:val="es-MX"/>
        </w:rPr>
      </w:pPr>
    </w:p>
    <w:p w:rsidR="001278FC" w:rsidRPr="003C33D5" w:rsidRDefault="001278FC"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CAPÍTULO I</w:t>
      </w:r>
    </w:p>
    <w:p w:rsidR="001278FC" w:rsidRPr="003C33D5" w:rsidRDefault="001278FC"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DISPOSICIONES GENERALES</w:t>
      </w:r>
    </w:p>
    <w:p w:rsidR="001278FC" w:rsidRPr="003C33D5" w:rsidRDefault="001278FC" w:rsidP="003C33D5">
      <w:pPr>
        <w:spacing w:after="0" w:line="240" w:lineRule="auto"/>
        <w:jc w:val="center"/>
        <w:rPr>
          <w:rFonts w:ascii="Barlow Light" w:hAnsi="Barlow Light" w:cstheme="majorHAnsi"/>
          <w:b/>
          <w:lang w:val="es-MX"/>
        </w:rPr>
      </w:pPr>
    </w:p>
    <w:p w:rsidR="001278FC"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 xml:space="preserve">Artículo 1.- </w:t>
      </w:r>
      <w:r w:rsidRPr="003C33D5">
        <w:rPr>
          <w:rFonts w:ascii="Barlow Light" w:hAnsi="Barlow Light" w:cstheme="majorHAnsi"/>
          <w:lang w:val="es-MX"/>
        </w:rPr>
        <w:t>Las disposiciones de este Reglamento son de orden público y su observancia se limita a los integrantes del Comité Técnico de Evaluación de Nuevos Desarrollos Inmobiliarios tiene por objeto regular el funcionamiento del Comité Técnico de Revisión para la Autorización de Nuevos Desarrollos, así como normar las acciones, análisis, propuestas, opiniones y recomendaciones que emitan los integrantes del Comité Técnico de Evaluación para la Autorización de Nuevos Desarrollos Inmobiliarios, en asuntos relacionados con las autorizaciones a que hace referencia el Reglamento de la Ley de Desarrollos Inmobiliarios del Estado de Yucatán, así como quienes son responsables de estas.</w:t>
      </w:r>
    </w:p>
    <w:p w:rsidR="003C33D5" w:rsidRPr="003C33D5" w:rsidRDefault="003C33D5" w:rsidP="003C33D5">
      <w:pPr>
        <w:spacing w:after="0" w:line="240" w:lineRule="auto"/>
        <w:jc w:val="both"/>
        <w:rPr>
          <w:rFonts w:ascii="Barlow Light" w:hAnsi="Barlow Light" w:cstheme="majorHAnsi"/>
          <w:lang w:val="es-MX"/>
        </w:rPr>
      </w:pP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 xml:space="preserve">Artículo 2.- </w:t>
      </w:r>
      <w:r w:rsidRPr="003C33D5">
        <w:rPr>
          <w:rFonts w:ascii="Barlow Light" w:hAnsi="Barlow Light" w:cstheme="majorHAnsi"/>
          <w:lang w:val="es-MX"/>
        </w:rPr>
        <w:t>Para los efectos de este Reglamento, se entenderá por:</w:t>
      </w:r>
    </w:p>
    <w:p w:rsidR="003C33D5" w:rsidRDefault="003C33D5" w:rsidP="003C33D5">
      <w:pPr>
        <w:spacing w:after="0" w:line="240" w:lineRule="auto"/>
        <w:jc w:val="both"/>
        <w:rPr>
          <w:rFonts w:ascii="Barlow Light" w:hAnsi="Barlow Light" w:cstheme="majorHAnsi"/>
          <w:lang w:val="es-MX"/>
        </w:rPr>
      </w:pP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AYUNTAMIENTO</w:t>
      </w:r>
      <w:r w:rsidR="003C33D5">
        <w:rPr>
          <w:rFonts w:ascii="Barlow Light" w:hAnsi="Barlow Light" w:cstheme="majorHAnsi"/>
          <w:lang w:val="es-MX"/>
        </w:rPr>
        <w:t>.-</w:t>
      </w:r>
      <w:r w:rsidRPr="003C33D5">
        <w:rPr>
          <w:rFonts w:ascii="Barlow Light" w:hAnsi="Barlow Light" w:cstheme="majorHAnsi"/>
          <w:lang w:val="es-MX"/>
        </w:rPr>
        <w:t xml:space="preserve"> Al H. Ayuntamiento Constitucional del Municipio de Mérida.</w:t>
      </w: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COMITÉ</w:t>
      </w:r>
      <w:r w:rsidRPr="003C33D5">
        <w:rPr>
          <w:rFonts w:ascii="Barlow Light" w:hAnsi="Barlow Light" w:cstheme="majorHAnsi"/>
          <w:lang w:val="es-MX"/>
        </w:rPr>
        <w:t>. – Al Comité Técnico de Evaluación para la Autorización de Nuevos Desarrollos Inmobiliarios en el Municipio de Mérida.</w:t>
      </w: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DIRECCIÓN</w:t>
      </w:r>
      <w:r w:rsidRPr="003C33D5">
        <w:rPr>
          <w:rFonts w:ascii="Barlow Light" w:hAnsi="Barlow Light" w:cstheme="majorHAnsi"/>
          <w:lang w:val="es-MX"/>
        </w:rPr>
        <w:t>. – A la Dirección de Desarrollo Urbano del H. Ayuntamiento Constitucional del Municipio de Mérida.</w:t>
      </w: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REGLAMENTO</w:t>
      </w:r>
      <w:r w:rsidRPr="003C33D5">
        <w:rPr>
          <w:rFonts w:ascii="Barlow Light" w:hAnsi="Barlow Light" w:cstheme="majorHAnsi"/>
          <w:lang w:val="es-MX"/>
        </w:rPr>
        <w:t>. – Al presente Reglamento Interno del Comité Técnico de Evaluación y Revisión para la Autorización de Nuevos Desarrollos Inmobiliarios.</w:t>
      </w: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PRESIDENTE DEL COMITÉ</w:t>
      </w:r>
      <w:r w:rsidR="003C33D5">
        <w:rPr>
          <w:rFonts w:ascii="Barlow Light" w:hAnsi="Barlow Light" w:cstheme="majorHAnsi"/>
          <w:lang w:val="es-MX"/>
        </w:rPr>
        <w:t>.-</w:t>
      </w:r>
      <w:r w:rsidRPr="003C33D5">
        <w:rPr>
          <w:rFonts w:ascii="Barlow Light" w:hAnsi="Barlow Light" w:cstheme="majorHAnsi"/>
          <w:lang w:val="es-MX"/>
        </w:rPr>
        <w:t xml:space="preserve"> Director de Desarrollo Urbano que estará encargado de presidir las sesiones de manera ordenada.</w:t>
      </w:r>
    </w:p>
    <w:p w:rsidR="001278FC" w:rsidRPr="003C33D5" w:rsidRDefault="001278FC"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SECRETARIO DE ACTAS</w:t>
      </w:r>
      <w:r w:rsidRPr="003C33D5">
        <w:rPr>
          <w:rFonts w:ascii="Barlow Light" w:hAnsi="Barlow Light" w:cstheme="majorHAnsi"/>
          <w:lang w:val="es-MX"/>
        </w:rPr>
        <w:t>.</w:t>
      </w:r>
      <w:r w:rsidR="002F3EB6" w:rsidRPr="003C33D5">
        <w:rPr>
          <w:rFonts w:ascii="Barlow Light" w:hAnsi="Barlow Light" w:cstheme="majorHAnsi"/>
          <w:lang w:val="es-MX"/>
        </w:rPr>
        <w:t>–</w:t>
      </w:r>
      <w:r w:rsidRPr="003C33D5">
        <w:rPr>
          <w:rFonts w:ascii="Barlow Light" w:hAnsi="Barlow Light" w:cstheme="majorHAnsi"/>
          <w:lang w:val="es-MX"/>
        </w:rPr>
        <w:t xml:space="preserve"> </w:t>
      </w:r>
      <w:r w:rsidR="002F3EB6" w:rsidRPr="003C33D5">
        <w:rPr>
          <w:rFonts w:ascii="Barlow Light" w:hAnsi="Barlow Light" w:cstheme="majorHAnsi"/>
          <w:lang w:val="es-MX"/>
        </w:rPr>
        <w:t>Servidor Público de la Dirección de Desarrollo Urbano que estará encargado de llevar las minutas y acuerdos.</w:t>
      </w:r>
    </w:p>
    <w:p w:rsidR="002F3EB6" w:rsidRPr="003C33D5" w:rsidRDefault="002F3EB6" w:rsidP="003C33D5">
      <w:pPr>
        <w:spacing w:after="0" w:line="240" w:lineRule="auto"/>
        <w:jc w:val="both"/>
        <w:rPr>
          <w:rFonts w:ascii="Barlow Light" w:hAnsi="Barlow Light" w:cstheme="majorHAnsi"/>
          <w:lang w:val="es-MX"/>
        </w:rPr>
      </w:pPr>
    </w:p>
    <w:p w:rsidR="002F3EB6" w:rsidRPr="003C33D5" w:rsidRDefault="002F3EB6"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CAPÍTULO II</w:t>
      </w:r>
    </w:p>
    <w:p w:rsidR="002F3EB6" w:rsidRPr="003C33D5" w:rsidRDefault="002F3EB6" w:rsidP="003C33D5">
      <w:pPr>
        <w:spacing w:after="0" w:line="240" w:lineRule="auto"/>
        <w:jc w:val="center"/>
        <w:rPr>
          <w:rFonts w:ascii="Barlow Light" w:hAnsi="Barlow Light" w:cstheme="majorHAnsi"/>
          <w:b/>
          <w:lang w:val="es-MX"/>
        </w:rPr>
      </w:pPr>
      <w:r w:rsidRPr="003C33D5">
        <w:rPr>
          <w:rFonts w:ascii="Barlow Light" w:hAnsi="Barlow Light" w:cstheme="majorHAnsi"/>
          <w:b/>
          <w:lang w:val="es-MX"/>
        </w:rPr>
        <w:t>DEL COMITÉ TÉCNICO DE REVISIÓN PARA LA AUTORIZACIÓN DE NUEVOS DESARROLLOS</w:t>
      </w:r>
    </w:p>
    <w:p w:rsidR="002F3EB6" w:rsidRPr="003C33D5" w:rsidRDefault="002F3EB6" w:rsidP="003C33D5">
      <w:pPr>
        <w:spacing w:after="0" w:line="240" w:lineRule="auto"/>
        <w:jc w:val="both"/>
        <w:rPr>
          <w:rFonts w:ascii="Barlow Light" w:hAnsi="Barlow Light" w:cstheme="majorHAnsi"/>
          <w:lang w:val="es-MX"/>
        </w:rPr>
      </w:pPr>
    </w:p>
    <w:p w:rsidR="002F3EB6" w:rsidRPr="003C33D5" w:rsidRDefault="002F3EB6"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 xml:space="preserve">Artículo 3.- </w:t>
      </w:r>
      <w:r w:rsidRPr="003C33D5">
        <w:rPr>
          <w:rFonts w:ascii="Barlow Light" w:hAnsi="Barlow Light" w:cstheme="majorHAnsi"/>
          <w:lang w:val="es-MX"/>
        </w:rPr>
        <w:t>El Comité es el Órgano Técnico de Evaluación integrado por las autoridades municipales, estatales y federales, así como las demás dependencias relacionadas con el desarrollo urbano, que emiten una opinión respecto a los proyectos de desarrollos inmobiliarios. Los cargos de sus integrantes tendrán carácter honorario.</w:t>
      </w:r>
    </w:p>
    <w:p w:rsidR="003C33D5" w:rsidRDefault="003C33D5" w:rsidP="003C33D5">
      <w:pPr>
        <w:spacing w:after="0" w:line="240" w:lineRule="auto"/>
        <w:jc w:val="both"/>
        <w:rPr>
          <w:rFonts w:ascii="Barlow Light" w:hAnsi="Barlow Light" w:cstheme="majorHAnsi"/>
          <w:lang w:val="es-MX"/>
        </w:rPr>
      </w:pPr>
    </w:p>
    <w:p w:rsidR="002F3EB6" w:rsidRPr="003C33D5" w:rsidRDefault="002F3EB6" w:rsidP="003C33D5">
      <w:pPr>
        <w:spacing w:after="0" w:line="240" w:lineRule="auto"/>
        <w:jc w:val="both"/>
        <w:rPr>
          <w:rFonts w:ascii="Barlow Light" w:hAnsi="Barlow Light" w:cstheme="majorHAnsi"/>
          <w:lang w:val="es-MX"/>
        </w:rPr>
      </w:pPr>
      <w:r w:rsidRPr="003C33D5">
        <w:rPr>
          <w:rFonts w:ascii="Barlow Light" w:hAnsi="Barlow Light" w:cstheme="majorHAnsi"/>
          <w:lang w:val="es-MX"/>
        </w:rPr>
        <w:t>Los acuerdos tomados por el Comité serán registrados en todo momento por la DI</w:t>
      </w:r>
      <w:r w:rsidR="00E40127" w:rsidRPr="003C33D5">
        <w:rPr>
          <w:rFonts w:ascii="Barlow Light" w:hAnsi="Barlow Light" w:cstheme="majorHAnsi"/>
          <w:lang w:val="es-MX"/>
        </w:rPr>
        <w:t xml:space="preserve">RECCIÓN </w:t>
      </w:r>
      <w:r w:rsidRPr="003C33D5">
        <w:rPr>
          <w:rFonts w:ascii="Barlow Light" w:hAnsi="Barlow Light" w:cstheme="majorHAnsi"/>
          <w:lang w:val="es-MX"/>
        </w:rPr>
        <w:t>a través de su Secretario de Actas para su validez y control.</w:t>
      </w:r>
    </w:p>
    <w:p w:rsidR="003C33D5" w:rsidRDefault="003C33D5" w:rsidP="003C33D5">
      <w:pPr>
        <w:spacing w:after="0" w:line="240" w:lineRule="auto"/>
        <w:jc w:val="both"/>
        <w:rPr>
          <w:rFonts w:ascii="Barlow Light" w:hAnsi="Barlow Light" w:cstheme="majorHAnsi"/>
          <w:b/>
          <w:lang w:val="es-MX"/>
        </w:rPr>
      </w:pPr>
    </w:p>
    <w:p w:rsidR="00E40127" w:rsidRDefault="00E40127" w:rsidP="003C33D5">
      <w:pPr>
        <w:spacing w:after="0" w:line="240" w:lineRule="auto"/>
        <w:jc w:val="both"/>
        <w:rPr>
          <w:rFonts w:ascii="Barlow Light" w:hAnsi="Barlow Light" w:cstheme="majorHAnsi"/>
          <w:lang w:val="es-MX"/>
        </w:rPr>
      </w:pPr>
      <w:r w:rsidRPr="003C33D5">
        <w:rPr>
          <w:rFonts w:ascii="Barlow Light" w:hAnsi="Barlow Light" w:cstheme="majorHAnsi"/>
          <w:b/>
          <w:lang w:val="es-MX"/>
        </w:rPr>
        <w:t xml:space="preserve">Artículo 4.- </w:t>
      </w:r>
      <w:r w:rsidRPr="003C33D5">
        <w:rPr>
          <w:rFonts w:ascii="Barlow Light" w:hAnsi="Barlow Light" w:cstheme="majorHAnsi"/>
          <w:lang w:val="es-MX"/>
        </w:rPr>
        <w:t>El Comité Técnico de evaluación para la Autorización de Nuevos Desarrollos Inmobiliarios; estará integrada por dos representantes de la Dirección de Desarrollo Urbano del Municipio de Mérida, que será el Director de Desarrollo Urbano y otro funcionario de la misma Dirección, designado a propuesta del mismo Director de Desarrollo Urbano, y por un representante, con derecho a voz y voto, de cada uno de las Dependencias y Entidades Municipales, Estatales y Federales, convocados por el titular de la Dirección de Desarrollo Urbano y que a continuación se relacionan:</w:t>
      </w:r>
    </w:p>
    <w:p w:rsidR="003C33D5" w:rsidRPr="003C33D5" w:rsidRDefault="003C33D5" w:rsidP="003C33D5">
      <w:pPr>
        <w:spacing w:after="0" w:line="240" w:lineRule="auto"/>
        <w:jc w:val="both"/>
        <w:rPr>
          <w:rFonts w:ascii="Barlow Light" w:hAnsi="Barlow Light" w:cstheme="majorHAnsi"/>
          <w:lang w:val="es-MX"/>
        </w:rPr>
      </w:pP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Secretaría de Desarrollo Urbano y Medio Ambiente.</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Instituto Nacional de Antropología e Historia.</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Comisión Federal de Electricidad.</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Comisión Nacional del Agua.</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Secretaria de Comunicaciones y Transporte.</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Junta de Agua Potable y Alcantarillado de Yucatán.</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Dirección de Transporte del Estado de Yucatán.</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Secretaría de Seguridad Pública.</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Secretaría de Educación.</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Secretaría de Salud.</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Instituto de Infraestructura Carretera de Yucatán.</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Instituto de Seguridad Jurídica Patrimonial de Yucatán.</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Dirección de Catastro del Municipio de Mérida.</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Dirección de Servicios Públicos Municipales.</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Dirección de Obras Públicas del Municipio de Mérida.</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Subdirección de Ecología y Residuos Sólidos.</w:t>
      </w:r>
    </w:p>
    <w:p w:rsidR="00E40127" w:rsidRPr="003C33D5" w:rsidRDefault="00E40127" w:rsidP="003C33D5">
      <w:pPr>
        <w:pStyle w:val="Prrafodelista"/>
        <w:numPr>
          <w:ilvl w:val="0"/>
          <w:numId w:val="1"/>
        </w:numPr>
        <w:spacing w:after="0" w:line="240" w:lineRule="auto"/>
        <w:jc w:val="both"/>
        <w:rPr>
          <w:rFonts w:ascii="Barlow Light" w:hAnsi="Barlow Light" w:cstheme="majorHAnsi"/>
          <w:lang w:val="es-MX"/>
        </w:rPr>
      </w:pPr>
      <w:r w:rsidRPr="003C33D5">
        <w:rPr>
          <w:rFonts w:ascii="Barlow Light" w:hAnsi="Barlow Light" w:cstheme="majorHAnsi"/>
          <w:lang w:val="es-MX"/>
        </w:rPr>
        <w:t>Protección Civil del Municipio de Mérida.</w:t>
      </w:r>
    </w:p>
    <w:p w:rsidR="003C33D5" w:rsidRDefault="003C33D5" w:rsidP="003C33D5">
      <w:pPr>
        <w:spacing w:after="0" w:line="240" w:lineRule="auto"/>
        <w:ind w:left="360"/>
        <w:jc w:val="both"/>
        <w:rPr>
          <w:rFonts w:ascii="Barlow Light" w:hAnsi="Barlow Light" w:cstheme="majorHAnsi"/>
          <w:b/>
          <w:lang w:val="es-MX"/>
        </w:rPr>
      </w:pPr>
    </w:p>
    <w:p w:rsidR="00E40127" w:rsidRPr="003C33D5" w:rsidRDefault="00E40127"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 xml:space="preserve">Artículo 5.- </w:t>
      </w:r>
      <w:r w:rsidRPr="003C33D5">
        <w:rPr>
          <w:rFonts w:ascii="Barlow Light" w:hAnsi="Barlow Light" w:cstheme="majorHAnsi"/>
          <w:lang w:val="es-MX"/>
        </w:rPr>
        <w:t>La DIRECCIÓN solicitará a cada uno de las áreas técnica de las dependencias municipales, estatales y federales y de las dependencias encargadas del Sistema de Agua Potable, Servicios Públicos Municipales, Obras Públicas, Educación Pública</w:t>
      </w:r>
      <w:r w:rsidR="00811E94" w:rsidRPr="003C33D5">
        <w:rPr>
          <w:rFonts w:ascii="Barlow Light" w:hAnsi="Barlow Light" w:cstheme="majorHAnsi"/>
          <w:lang w:val="es-MX"/>
        </w:rPr>
        <w:t>, Protección Civil, Servicios de Salud, Transporte, Catastro, Seguridad Pública, la Comisión Federal de Electricidad y la Secretaría de Comunicaciones y Transportes, los nombres del propietario y del suplente, él que tendrá las mismas facultades que el propietario. Los representantes podrán ser ratificados.</w:t>
      </w:r>
    </w:p>
    <w:p w:rsidR="003C33D5" w:rsidRDefault="003C33D5" w:rsidP="003C33D5">
      <w:pPr>
        <w:spacing w:after="0" w:line="240" w:lineRule="auto"/>
        <w:ind w:left="360"/>
        <w:jc w:val="both"/>
        <w:rPr>
          <w:rFonts w:ascii="Barlow Light" w:hAnsi="Barlow Light" w:cstheme="majorHAnsi"/>
          <w:b/>
          <w:lang w:val="es-MX"/>
        </w:rPr>
      </w:pPr>
    </w:p>
    <w:p w:rsidR="00811E94" w:rsidRPr="003C33D5" w:rsidRDefault="00811E94"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Artículo 6.</w:t>
      </w:r>
      <w:r w:rsidRPr="003C33D5">
        <w:rPr>
          <w:rFonts w:ascii="Barlow Light" w:hAnsi="Barlow Light" w:cstheme="majorHAnsi"/>
          <w:lang w:val="es-MX"/>
        </w:rPr>
        <w:t>- El presidente será el encargado de llevar el orden de la sesión del “COMITÉ” y durará en el encargo por todo el periodo que dure su administración a partir de su nombramiento. El presidente en turno deberá designar un Secretario de Actas para el periodo que fue designado, mismo que será un funcionario de la misma Dirección, debiendo éste llevar un acta por cada sesión.</w:t>
      </w:r>
    </w:p>
    <w:p w:rsidR="003C33D5" w:rsidRDefault="003C33D5" w:rsidP="003C33D5">
      <w:pPr>
        <w:spacing w:after="0" w:line="240" w:lineRule="auto"/>
        <w:ind w:left="360"/>
        <w:jc w:val="both"/>
        <w:rPr>
          <w:rFonts w:ascii="Barlow Light" w:hAnsi="Barlow Light" w:cstheme="majorHAnsi"/>
          <w:lang w:val="es-MX"/>
        </w:rPr>
      </w:pPr>
    </w:p>
    <w:p w:rsidR="00811E94" w:rsidRPr="003C33D5" w:rsidRDefault="00811E94" w:rsidP="003C33D5">
      <w:pPr>
        <w:spacing w:after="0" w:line="240" w:lineRule="auto"/>
        <w:ind w:left="360"/>
        <w:jc w:val="both"/>
        <w:rPr>
          <w:rFonts w:ascii="Barlow Light" w:hAnsi="Barlow Light" w:cstheme="majorHAnsi"/>
          <w:lang w:val="es-MX"/>
        </w:rPr>
      </w:pPr>
      <w:r w:rsidRPr="003C33D5">
        <w:rPr>
          <w:rFonts w:ascii="Barlow Light" w:hAnsi="Barlow Light" w:cstheme="majorHAnsi"/>
          <w:lang w:val="es-MX"/>
        </w:rPr>
        <w:t>El presidente y el Secretario de Actas, deberán de acudir y estar presentes en todas las sesiones del “COMITÉ”.</w:t>
      </w:r>
    </w:p>
    <w:p w:rsidR="003C33D5" w:rsidRDefault="003C33D5" w:rsidP="003C33D5">
      <w:pPr>
        <w:spacing w:after="0" w:line="240" w:lineRule="auto"/>
        <w:ind w:left="360"/>
        <w:jc w:val="both"/>
        <w:rPr>
          <w:rFonts w:ascii="Barlow Light" w:hAnsi="Barlow Light" w:cstheme="majorHAnsi"/>
          <w:b/>
          <w:lang w:val="es-MX"/>
        </w:rPr>
      </w:pPr>
    </w:p>
    <w:p w:rsidR="00811E94" w:rsidRPr="003C33D5" w:rsidRDefault="00811E94"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 xml:space="preserve">Artículo 7.- </w:t>
      </w:r>
      <w:r w:rsidRPr="003C33D5">
        <w:rPr>
          <w:rFonts w:ascii="Barlow Light" w:hAnsi="Barlow Light" w:cstheme="majorHAnsi"/>
          <w:lang w:val="es-MX"/>
        </w:rPr>
        <w:t>Una vez instalado el “COMITÉ”, el Secretario de Actas lo notificará al “AYUNTAMIENTO” mediante oficio, anexando una copia del acta respectiva, para los fines que sean conducentes.</w:t>
      </w:r>
    </w:p>
    <w:p w:rsidR="003C33D5" w:rsidRDefault="003C33D5" w:rsidP="003C33D5">
      <w:pPr>
        <w:spacing w:after="0" w:line="240" w:lineRule="auto"/>
        <w:ind w:left="360"/>
        <w:jc w:val="both"/>
        <w:rPr>
          <w:rFonts w:ascii="Barlow Light" w:hAnsi="Barlow Light" w:cstheme="majorHAnsi"/>
          <w:b/>
          <w:lang w:val="es-MX"/>
        </w:rPr>
      </w:pPr>
    </w:p>
    <w:p w:rsidR="00811E94" w:rsidRDefault="00811E94"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lastRenderedPageBreak/>
        <w:t>Artículo 8.</w:t>
      </w:r>
      <w:r w:rsidRPr="003C33D5">
        <w:rPr>
          <w:rFonts w:ascii="Barlow Light" w:hAnsi="Barlow Light" w:cstheme="majorHAnsi"/>
          <w:lang w:val="es-MX"/>
        </w:rPr>
        <w:t>- El “COMITÉ” realizará Sesiones Ordinarias por lo menos una vez por mes para lo cual se le enviará la información necesaria anexa, salvo en las fechas que sean festivas y Sesiones Extraordinarias, cuando haya algún asunto que así lo amerite o a solicitud por escrito de cualquiera de los integrantes del “COMITÉ”. De cada sesión se levantará el acta correspondiente.</w:t>
      </w:r>
    </w:p>
    <w:p w:rsidR="003C33D5" w:rsidRPr="003C33D5" w:rsidRDefault="003C33D5" w:rsidP="003C33D5">
      <w:pPr>
        <w:spacing w:after="0" w:line="240" w:lineRule="auto"/>
        <w:ind w:left="360"/>
        <w:jc w:val="both"/>
        <w:rPr>
          <w:rFonts w:ascii="Barlow Light" w:hAnsi="Barlow Light" w:cstheme="majorHAnsi"/>
          <w:lang w:val="es-MX"/>
        </w:rPr>
      </w:pPr>
    </w:p>
    <w:p w:rsidR="00811E94" w:rsidRPr="003C33D5" w:rsidRDefault="00FA4621"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 xml:space="preserve">Artículo 9.- </w:t>
      </w:r>
      <w:r w:rsidRPr="003C33D5">
        <w:rPr>
          <w:rFonts w:ascii="Barlow Light" w:hAnsi="Barlow Light" w:cstheme="majorHAnsi"/>
          <w:lang w:val="es-MX"/>
        </w:rPr>
        <w:t xml:space="preserve">El Presidente deberá convocar a las Sesiones Ordinarias y Extraordinarias a todos los integrantes del “COMITÉ” debiendo anexar a la convocatoria el Orden del día correspondiente, considerando en ella el punto de “Asuntos </w:t>
      </w:r>
      <w:r w:rsidR="00036BE6" w:rsidRPr="003C33D5">
        <w:rPr>
          <w:rFonts w:ascii="Barlow Light" w:hAnsi="Barlow Light" w:cstheme="majorHAnsi"/>
          <w:lang w:val="es-MX"/>
        </w:rPr>
        <w:t>Generales” para cualquier tema no considerado en el orden del día al momento de la convocatoria, excepto en las Sesiones Extraordinarias.</w:t>
      </w:r>
    </w:p>
    <w:p w:rsidR="003C33D5" w:rsidRDefault="003C33D5" w:rsidP="003C33D5">
      <w:pPr>
        <w:spacing w:after="0" w:line="240" w:lineRule="auto"/>
        <w:ind w:left="360"/>
        <w:jc w:val="both"/>
        <w:rPr>
          <w:rFonts w:ascii="Barlow Light" w:hAnsi="Barlow Light" w:cstheme="majorHAnsi"/>
          <w:b/>
          <w:lang w:val="es-MX"/>
        </w:rPr>
      </w:pPr>
    </w:p>
    <w:p w:rsidR="00036BE6" w:rsidRPr="003C33D5" w:rsidRDefault="00036BE6"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Artículo 10.</w:t>
      </w:r>
      <w:r w:rsidRPr="003C33D5">
        <w:rPr>
          <w:rFonts w:ascii="Barlow Light" w:hAnsi="Barlow Light" w:cstheme="majorHAnsi"/>
          <w:lang w:val="es-MX"/>
        </w:rPr>
        <w:t>- En caso de ausencia del Presidente, el representante de la “DIRECCIÓN” fungirá como tal, no pudiendo el primero tener dos ausencias consecutivas. En caso de ausencia del Secretario de Actas, el Presidente nombrará dentro de los asistentes del “COMITÉ” a uno de los miembros, quien llevará el acta respectiva.</w:t>
      </w:r>
    </w:p>
    <w:p w:rsidR="003C33D5" w:rsidRDefault="003C33D5" w:rsidP="003C33D5">
      <w:pPr>
        <w:spacing w:after="0" w:line="240" w:lineRule="auto"/>
        <w:ind w:left="360"/>
        <w:jc w:val="both"/>
        <w:rPr>
          <w:rFonts w:ascii="Barlow Light" w:hAnsi="Barlow Light" w:cstheme="majorHAnsi"/>
          <w:b/>
          <w:lang w:val="es-MX"/>
        </w:rPr>
      </w:pPr>
    </w:p>
    <w:p w:rsidR="00EA0F15" w:rsidRPr="003C33D5" w:rsidRDefault="00036BE6"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Artículo 11.</w:t>
      </w:r>
      <w:r w:rsidRPr="003C33D5">
        <w:rPr>
          <w:rFonts w:ascii="Barlow Light" w:hAnsi="Barlow Light" w:cstheme="majorHAnsi"/>
          <w:lang w:val="es-MX"/>
        </w:rPr>
        <w:t>- Para convocar a las Sesiones Ordinarias se notificará a los integrantes del “COMITÉ” mediante escrito, por lo menos con cinco días hábiles de anticipación, del día y la hora en la que esta se llevará a cabo, ya sea en el edificio de la “DIRECCIÓN” o en el lugar previamente declarado para ello. Para las sesiones Extraordinarias se deberá convocar por lo menos con 24 horas de anticipación. La cancelación de una reunión de ninguna manera deberá darse de forma unilateral, sino a propuesta de cuando menos el cuarenta por ciento de los integrantes del “COMITÉ”</w:t>
      </w:r>
      <w:r w:rsidR="003C33D5">
        <w:rPr>
          <w:rFonts w:ascii="Barlow Light" w:hAnsi="Barlow Light" w:cstheme="majorHAnsi"/>
          <w:lang w:val="es-MX"/>
        </w:rPr>
        <w:t xml:space="preserve"> </w:t>
      </w:r>
      <w:r w:rsidR="00EA0F15" w:rsidRPr="003C33D5">
        <w:rPr>
          <w:rFonts w:ascii="Barlow Light" w:hAnsi="Barlow Light" w:cstheme="majorHAnsi"/>
          <w:lang w:val="es-MX"/>
        </w:rPr>
        <w:t xml:space="preserve">y esto solo podrá ser por causas de fuerza mayor. </w:t>
      </w:r>
      <w:r w:rsidR="00555C3A" w:rsidRPr="003C33D5">
        <w:rPr>
          <w:rFonts w:ascii="Barlow Light" w:hAnsi="Barlow Light" w:cstheme="majorHAnsi"/>
          <w:lang w:val="es-MX"/>
        </w:rPr>
        <w:t>Será obligación</w:t>
      </w:r>
      <w:r w:rsidR="00EA0F15" w:rsidRPr="003C33D5">
        <w:rPr>
          <w:rFonts w:ascii="Barlow Light" w:hAnsi="Barlow Light" w:cstheme="majorHAnsi"/>
          <w:lang w:val="es-MX"/>
        </w:rPr>
        <w:t xml:space="preserve"> del Presidente dar aviso de la cancelación de la Sesión a todos los integrantes del “COMITÉ”, por lo menos veinticuatro horas antes de la hora programada para llevar a cabo </w:t>
      </w:r>
      <w:r w:rsidR="00555C3A" w:rsidRPr="003C33D5">
        <w:rPr>
          <w:rFonts w:ascii="Barlow Light" w:hAnsi="Barlow Light" w:cstheme="majorHAnsi"/>
          <w:lang w:val="es-MX"/>
        </w:rPr>
        <w:t>la sesión</w:t>
      </w:r>
      <w:r w:rsidR="00EA0F15" w:rsidRPr="003C33D5">
        <w:rPr>
          <w:rFonts w:ascii="Barlow Light" w:hAnsi="Barlow Light" w:cstheme="majorHAnsi"/>
          <w:lang w:val="es-MX"/>
        </w:rPr>
        <w:t xml:space="preserve"> de la que se trata.</w:t>
      </w:r>
    </w:p>
    <w:p w:rsidR="003C33D5" w:rsidRDefault="003C33D5" w:rsidP="003C33D5">
      <w:pPr>
        <w:spacing w:after="0" w:line="240" w:lineRule="auto"/>
        <w:ind w:left="360"/>
        <w:jc w:val="both"/>
        <w:rPr>
          <w:rFonts w:ascii="Barlow Light" w:hAnsi="Barlow Light" w:cstheme="majorHAnsi"/>
          <w:b/>
          <w:lang w:val="es-MX"/>
        </w:rPr>
      </w:pPr>
    </w:p>
    <w:p w:rsidR="00555C3A" w:rsidRPr="003C33D5" w:rsidRDefault="00555C3A"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 xml:space="preserve">Artículo 12.- </w:t>
      </w:r>
      <w:r w:rsidRPr="003C33D5">
        <w:rPr>
          <w:rFonts w:ascii="Barlow Light" w:hAnsi="Barlow Light" w:cstheme="majorHAnsi"/>
          <w:lang w:val="es-MX"/>
        </w:rPr>
        <w:t>Para que la sesión sea válida, deberán estar presentes por lo menos el cincuenta por ciento más uno de los integrantes del “COMITÉ”, siendo obligatorio la presencia de por lo menos un representante de la “DIRECCIÓN”.</w:t>
      </w:r>
    </w:p>
    <w:p w:rsidR="003C33D5" w:rsidRDefault="003C33D5" w:rsidP="003C33D5">
      <w:pPr>
        <w:spacing w:after="0" w:line="240" w:lineRule="auto"/>
        <w:ind w:left="360"/>
        <w:jc w:val="both"/>
        <w:rPr>
          <w:rFonts w:ascii="Barlow Light" w:hAnsi="Barlow Light" w:cstheme="majorHAnsi"/>
          <w:lang w:val="es-MX"/>
        </w:rPr>
      </w:pPr>
    </w:p>
    <w:p w:rsidR="00555C3A" w:rsidRPr="003C33D5" w:rsidRDefault="00555C3A" w:rsidP="003C33D5">
      <w:pPr>
        <w:spacing w:after="0" w:line="240" w:lineRule="auto"/>
        <w:ind w:left="360"/>
        <w:jc w:val="both"/>
        <w:rPr>
          <w:rFonts w:ascii="Barlow Light" w:hAnsi="Barlow Light" w:cstheme="majorHAnsi"/>
          <w:lang w:val="es-MX"/>
        </w:rPr>
      </w:pPr>
      <w:r w:rsidRPr="003C33D5">
        <w:rPr>
          <w:rFonts w:ascii="Barlow Light" w:hAnsi="Barlow Light" w:cstheme="majorHAnsi"/>
          <w:lang w:val="es-MX"/>
        </w:rPr>
        <w:t xml:space="preserve">En caso de no haber quórum </w:t>
      </w:r>
      <w:r w:rsidR="006F100E" w:rsidRPr="003C33D5">
        <w:rPr>
          <w:rFonts w:ascii="Barlow Light" w:hAnsi="Barlow Light" w:cstheme="majorHAnsi"/>
          <w:lang w:val="es-MX"/>
        </w:rPr>
        <w:t>en un plazo de treinta minutos, se suspenderá la sesión levantándose el acta correspondiente entre los asistentes y se convocará a una nueva sesión en un plazo de 72 horas.</w:t>
      </w:r>
    </w:p>
    <w:p w:rsidR="003C33D5" w:rsidRDefault="003C33D5" w:rsidP="003C33D5">
      <w:pPr>
        <w:spacing w:after="0" w:line="240" w:lineRule="auto"/>
        <w:ind w:left="360"/>
        <w:jc w:val="both"/>
        <w:rPr>
          <w:rFonts w:ascii="Barlow Light" w:hAnsi="Barlow Light" w:cstheme="majorHAnsi"/>
          <w:lang w:val="es-MX"/>
        </w:rPr>
      </w:pPr>
    </w:p>
    <w:p w:rsidR="006F100E" w:rsidRPr="003C33D5" w:rsidRDefault="006F100E" w:rsidP="003C33D5">
      <w:pPr>
        <w:spacing w:after="0" w:line="240" w:lineRule="auto"/>
        <w:ind w:left="360"/>
        <w:jc w:val="both"/>
        <w:rPr>
          <w:rFonts w:ascii="Barlow Light" w:hAnsi="Barlow Light" w:cstheme="majorHAnsi"/>
          <w:lang w:val="es-MX"/>
        </w:rPr>
      </w:pPr>
      <w:r w:rsidRPr="003C33D5">
        <w:rPr>
          <w:rFonts w:ascii="Barlow Light" w:hAnsi="Barlow Light" w:cstheme="majorHAnsi"/>
          <w:lang w:val="es-MX"/>
        </w:rPr>
        <w:t>A las sesiones asistirán los representantes de cada institución registrados en el “COMITÉ” con voz y con un solo voto por in</w:t>
      </w:r>
      <w:r w:rsidR="008A0F09" w:rsidRPr="003C33D5">
        <w:rPr>
          <w:rFonts w:ascii="Barlow Light" w:hAnsi="Barlow Light" w:cstheme="majorHAnsi"/>
          <w:lang w:val="es-MX"/>
        </w:rPr>
        <w:t>tegrante sobre los acuerdos a los que llegue el “COMITÉ”, podrán asistir los representantes registrados de la organización, siendo solo posible la asistencia de más representantes, cuando el asunto a tratar así lo requiera y previo acuerdo del “COMITÉ”.</w:t>
      </w:r>
    </w:p>
    <w:p w:rsidR="003C33D5" w:rsidRDefault="003C33D5" w:rsidP="003C33D5">
      <w:pPr>
        <w:spacing w:after="0" w:line="240" w:lineRule="auto"/>
        <w:ind w:left="360"/>
        <w:jc w:val="both"/>
        <w:rPr>
          <w:rFonts w:ascii="Barlow Light" w:hAnsi="Barlow Light" w:cstheme="majorHAnsi"/>
          <w:b/>
          <w:lang w:val="es-MX"/>
        </w:rPr>
      </w:pPr>
    </w:p>
    <w:p w:rsidR="008A0F09" w:rsidRPr="003C33D5" w:rsidRDefault="008A0F09"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 xml:space="preserve">Artículo 13.- </w:t>
      </w:r>
      <w:r w:rsidRPr="003C33D5">
        <w:rPr>
          <w:rFonts w:ascii="Barlow Light" w:hAnsi="Barlow Light" w:cstheme="majorHAnsi"/>
          <w:lang w:val="es-MX"/>
        </w:rPr>
        <w:t>Todas las opiniones y acuerdos que se tomen en las sesiones deberán estar asentadas en el libro de actas o bien si dicha opinión es enviada por escrito deberá estar firmada por el representante o propietario del “COMITÉ”.</w:t>
      </w:r>
    </w:p>
    <w:p w:rsidR="003C33D5" w:rsidRDefault="003C33D5" w:rsidP="003C33D5">
      <w:pPr>
        <w:spacing w:after="0" w:line="240" w:lineRule="auto"/>
        <w:ind w:left="360"/>
        <w:jc w:val="both"/>
        <w:rPr>
          <w:rFonts w:ascii="Barlow Light" w:hAnsi="Barlow Light" w:cstheme="majorHAnsi"/>
          <w:b/>
          <w:lang w:val="es-MX"/>
        </w:rPr>
      </w:pPr>
    </w:p>
    <w:p w:rsidR="008A0F09" w:rsidRPr="003C33D5" w:rsidRDefault="008A0F09"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Artículo 14.</w:t>
      </w:r>
      <w:r w:rsidRPr="003C33D5">
        <w:rPr>
          <w:rFonts w:ascii="Barlow Light" w:hAnsi="Barlow Light" w:cstheme="majorHAnsi"/>
          <w:lang w:val="es-MX"/>
        </w:rPr>
        <w:t>- Las opiniones deberán emitirse en la misma sesión enviadas a la DIRECCIÓN dentro del plazo que la misma normatividad establezca en cada dependencia o entidad.</w:t>
      </w:r>
    </w:p>
    <w:p w:rsidR="003C33D5" w:rsidRDefault="003C33D5" w:rsidP="003C33D5">
      <w:pPr>
        <w:spacing w:after="0" w:line="240" w:lineRule="auto"/>
        <w:ind w:left="360"/>
        <w:jc w:val="both"/>
        <w:rPr>
          <w:rFonts w:ascii="Barlow Light" w:hAnsi="Barlow Light" w:cstheme="majorHAnsi"/>
          <w:b/>
          <w:lang w:val="es-MX"/>
        </w:rPr>
      </w:pPr>
    </w:p>
    <w:p w:rsidR="008A0F09" w:rsidRPr="003C33D5" w:rsidRDefault="008A0F09"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Artículo 15.</w:t>
      </w:r>
      <w:r w:rsidRPr="003C33D5">
        <w:rPr>
          <w:rFonts w:ascii="Barlow Light" w:hAnsi="Barlow Light" w:cstheme="majorHAnsi"/>
          <w:lang w:val="es-MX"/>
        </w:rPr>
        <w:t>- Las sesiones del “COMITÉ” serán privadas y sólo podrán tener acceso sus integrantes y/o representantes debidamente acreditados.</w:t>
      </w:r>
    </w:p>
    <w:p w:rsidR="003C33D5" w:rsidRDefault="003C33D5" w:rsidP="003C33D5">
      <w:pPr>
        <w:spacing w:after="0" w:line="240" w:lineRule="auto"/>
        <w:ind w:left="360"/>
        <w:jc w:val="both"/>
        <w:rPr>
          <w:rFonts w:ascii="Barlow Light" w:hAnsi="Barlow Light" w:cstheme="majorHAnsi"/>
          <w:b/>
          <w:lang w:val="es-MX"/>
        </w:rPr>
      </w:pPr>
    </w:p>
    <w:p w:rsidR="00905F5F" w:rsidRPr="003C33D5" w:rsidRDefault="008A0F09"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Artículo 16.</w:t>
      </w:r>
      <w:r w:rsidRPr="003C33D5">
        <w:rPr>
          <w:rFonts w:ascii="Barlow Light" w:hAnsi="Barlow Light" w:cstheme="majorHAnsi"/>
          <w:lang w:val="es-MX"/>
        </w:rPr>
        <w:t xml:space="preserve">- Los asuntos tratados en el seno del “COMITÉ” tienen carácter de públicos; únicamente aquellos que el “COMITÉ” determine tendrán el carácter reservado, los cuales se darán a conocer a través del Presidente. La “DIRECCIÓN” será la </w:t>
      </w:r>
      <w:r w:rsidR="00090807" w:rsidRPr="003C33D5">
        <w:rPr>
          <w:rFonts w:ascii="Barlow Light" w:hAnsi="Barlow Light" w:cstheme="majorHAnsi"/>
          <w:lang w:val="es-MX"/>
        </w:rPr>
        <w:t>resguardante</w:t>
      </w:r>
      <w:r w:rsidRPr="003C33D5">
        <w:rPr>
          <w:rFonts w:ascii="Barlow Light" w:hAnsi="Barlow Light" w:cstheme="majorHAnsi"/>
          <w:lang w:val="es-MX"/>
        </w:rPr>
        <w:t xml:space="preserve"> de la información la cual quedará disponible de conformidad con la Ley de Acceso a la Información Pública para el Estado y los Munici</w:t>
      </w:r>
      <w:r w:rsidR="00905F5F" w:rsidRPr="003C33D5">
        <w:rPr>
          <w:rFonts w:ascii="Barlow Light" w:hAnsi="Barlow Light" w:cstheme="majorHAnsi"/>
          <w:lang w:val="es-MX"/>
        </w:rPr>
        <w:t>pios de Yucatán.</w:t>
      </w:r>
    </w:p>
    <w:p w:rsidR="00D75FC2" w:rsidRPr="003C33D5" w:rsidRDefault="00D75FC2" w:rsidP="003C33D5">
      <w:pPr>
        <w:spacing w:after="0" w:line="240" w:lineRule="auto"/>
        <w:ind w:left="360"/>
        <w:jc w:val="both"/>
        <w:rPr>
          <w:rFonts w:ascii="Barlow Light" w:hAnsi="Barlow Light" w:cstheme="majorHAnsi"/>
          <w:lang w:val="es-MX"/>
        </w:rPr>
      </w:pPr>
    </w:p>
    <w:p w:rsidR="00905F5F" w:rsidRPr="003C33D5" w:rsidRDefault="00905F5F" w:rsidP="003C33D5">
      <w:pPr>
        <w:spacing w:after="0" w:line="240" w:lineRule="auto"/>
        <w:ind w:left="360"/>
        <w:jc w:val="center"/>
        <w:rPr>
          <w:rFonts w:ascii="Barlow Light" w:hAnsi="Barlow Light" w:cstheme="majorHAnsi"/>
          <w:b/>
          <w:lang w:val="es-MX"/>
        </w:rPr>
      </w:pPr>
      <w:r w:rsidRPr="003C33D5">
        <w:rPr>
          <w:rFonts w:ascii="Barlow Light" w:hAnsi="Barlow Light" w:cstheme="majorHAnsi"/>
          <w:b/>
          <w:lang w:val="es-MX"/>
        </w:rPr>
        <w:t>CAPÍTULO III</w:t>
      </w:r>
    </w:p>
    <w:p w:rsidR="00905F5F" w:rsidRPr="003C33D5" w:rsidRDefault="00905F5F" w:rsidP="003C33D5">
      <w:pPr>
        <w:spacing w:after="0" w:line="240" w:lineRule="auto"/>
        <w:ind w:left="360"/>
        <w:jc w:val="center"/>
        <w:rPr>
          <w:rFonts w:ascii="Barlow Light" w:hAnsi="Barlow Light" w:cstheme="majorHAnsi"/>
          <w:b/>
          <w:lang w:val="es-MX"/>
        </w:rPr>
      </w:pPr>
      <w:r w:rsidRPr="003C33D5">
        <w:rPr>
          <w:rFonts w:ascii="Barlow Light" w:hAnsi="Barlow Light" w:cstheme="majorHAnsi"/>
          <w:b/>
          <w:lang w:val="es-MX"/>
        </w:rPr>
        <w:t>DE LAS ATRIBUCIONES</w:t>
      </w:r>
    </w:p>
    <w:p w:rsidR="00D75FC2" w:rsidRPr="003C33D5" w:rsidRDefault="00D75FC2" w:rsidP="003C33D5">
      <w:pPr>
        <w:spacing w:after="0" w:line="240" w:lineRule="auto"/>
        <w:ind w:left="360"/>
        <w:jc w:val="center"/>
        <w:rPr>
          <w:rFonts w:ascii="Barlow Light" w:hAnsi="Barlow Light" w:cstheme="majorHAnsi"/>
          <w:b/>
          <w:lang w:val="es-MX"/>
        </w:rPr>
      </w:pPr>
    </w:p>
    <w:p w:rsidR="008A0F09" w:rsidRDefault="008A0F09" w:rsidP="003C33D5">
      <w:pPr>
        <w:spacing w:after="0" w:line="240" w:lineRule="auto"/>
        <w:ind w:left="360"/>
        <w:jc w:val="both"/>
        <w:rPr>
          <w:rFonts w:ascii="Barlow Light" w:hAnsi="Barlow Light" w:cstheme="majorHAnsi"/>
          <w:lang w:val="es-MX"/>
        </w:rPr>
      </w:pPr>
      <w:r w:rsidRPr="003C33D5">
        <w:rPr>
          <w:rFonts w:ascii="Barlow Light" w:hAnsi="Barlow Light" w:cstheme="majorHAnsi"/>
          <w:lang w:val="es-MX"/>
        </w:rPr>
        <w:t xml:space="preserve"> </w:t>
      </w:r>
      <w:r w:rsidR="00905F5F" w:rsidRPr="003C33D5">
        <w:rPr>
          <w:rFonts w:ascii="Barlow Light" w:hAnsi="Barlow Light" w:cstheme="majorHAnsi"/>
          <w:b/>
          <w:lang w:val="es-MX"/>
        </w:rPr>
        <w:t xml:space="preserve">Artículo 17.- </w:t>
      </w:r>
      <w:r w:rsidR="00905F5F" w:rsidRPr="003C33D5">
        <w:rPr>
          <w:rFonts w:ascii="Barlow Light" w:hAnsi="Barlow Light" w:cstheme="majorHAnsi"/>
          <w:lang w:val="es-MX"/>
        </w:rPr>
        <w:t>El “COMITÉ” tendrá las atribuciones siguientes:</w:t>
      </w:r>
    </w:p>
    <w:p w:rsidR="003C33D5" w:rsidRPr="003C33D5" w:rsidRDefault="003C33D5" w:rsidP="003C33D5">
      <w:pPr>
        <w:spacing w:after="0" w:line="240" w:lineRule="auto"/>
        <w:ind w:left="360"/>
        <w:jc w:val="both"/>
        <w:rPr>
          <w:rFonts w:ascii="Barlow Light" w:hAnsi="Barlow Light" w:cstheme="majorHAnsi"/>
          <w:lang w:val="es-MX"/>
        </w:rPr>
      </w:pPr>
    </w:p>
    <w:p w:rsidR="00905F5F" w:rsidRPr="003C33D5" w:rsidRDefault="00905F5F" w:rsidP="003C33D5">
      <w:pPr>
        <w:pStyle w:val="Prrafodelista"/>
        <w:numPr>
          <w:ilvl w:val="0"/>
          <w:numId w:val="3"/>
        </w:numPr>
        <w:spacing w:after="0" w:line="240" w:lineRule="auto"/>
        <w:jc w:val="both"/>
        <w:rPr>
          <w:rFonts w:ascii="Barlow Light" w:hAnsi="Barlow Light" w:cstheme="majorHAnsi"/>
          <w:lang w:val="es-MX"/>
        </w:rPr>
      </w:pPr>
      <w:r w:rsidRPr="003C33D5">
        <w:rPr>
          <w:rFonts w:ascii="Barlow Light" w:hAnsi="Barlow Light" w:cstheme="majorHAnsi"/>
          <w:lang w:val="es-MX"/>
        </w:rPr>
        <w:t>Participar en el proceso de revisión y evaluación de nuevos proyectos de Desarrollo Inmobiliario;</w:t>
      </w:r>
    </w:p>
    <w:p w:rsidR="00905F5F" w:rsidRPr="003C33D5" w:rsidRDefault="00905F5F" w:rsidP="003C33D5">
      <w:pPr>
        <w:pStyle w:val="Prrafodelista"/>
        <w:numPr>
          <w:ilvl w:val="0"/>
          <w:numId w:val="3"/>
        </w:numPr>
        <w:spacing w:after="0" w:line="240" w:lineRule="auto"/>
        <w:jc w:val="both"/>
        <w:rPr>
          <w:rFonts w:ascii="Barlow Light" w:hAnsi="Barlow Light" w:cstheme="majorHAnsi"/>
          <w:lang w:val="es-MX"/>
        </w:rPr>
      </w:pPr>
      <w:r w:rsidRPr="003C33D5">
        <w:rPr>
          <w:rFonts w:ascii="Barlow Light" w:hAnsi="Barlow Light" w:cstheme="majorHAnsi"/>
          <w:lang w:val="es-MX"/>
        </w:rPr>
        <w:t>Conocer y pinar sobre las propuestas de nuevos Desarrollos Inmobiliarios;</w:t>
      </w:r>
    </w:p>
    <w:p w:rsidR="00905F5F" w:rsidRPr="003C33D5" w:rsidRDefault="00905F5F" w:rsidP="003C33D5">
      <w:pPr>
        <w:pStyle w:val="Prrafodelista"/>
        <w:numPr>
          <w:ilvl w:val="0"/>
          <w:numId w:val="3"/>
        </w:numPr>
        <w:spacing w:after="0" w:line="240" w:lineRule="auto"/>
        <w:jc w:val="both"/>
        <w:rPr>
          <w:rFonts w:ascii="Barlow Light" w:hAnsi="Barlow Light" w:cstheme="majorHAnsi"/>
          <w:lang w:val="es-MX"/>
        </w:rPr>
      </w:pPr>
      <w:r w:rsidRPr="003C33D5">
        <w:rPr>
          <w:rFonts w:ascii="Barlow Light" w:hAnsi="Barlow Light" w:cstheme="majorHAnsi"/>
          <w:lang w:val="es-MX"/>
        </w:rPr>
        <w:t>Conocer y opinar sobre la dotación de infraestructura, equipamiento y servicios urbanos, así como en la protección de los monumentos y zonas arqueológicas, artísticas e históricas y del equilibrio ecológico de los centros de población ubicados en el municipio;</w:t>
      </w:r>
    </w:p>
    <w:p w:rsidR="00905F5F" w:rsidRPr="003C33D5" w:rsidRDefault="00905F5F" w:rsidP="003C33D5">
      <w:pPr>
        <w:pStyle w:val="Prrafodelista"/>
        <w:numPr>
          <w:ilvl w:val="0"/>
          <w:numId w:val="3"/>
        </w:numPr>
        <w:spacing w:after="0" w:line="240" w:lineRule="auto"/>
        <w:jc w:val="both"/>
        <w:rPr>
          <w:rFonts w:ascii="Barlow Light" w:hAnsi="Barlow Light" w:cstheme="majorHAnsi"/>
          <w:lang w:val="es-MX"/>
        </w:rPr>
      </w:pPr>
      <w:r w:rsidRPr="003C33D5">
        <w:rPr>
          <w:rFonts w:ascii="Barlow Light" w:hAnsi="Barlow Light" w:cstheme="majorHAnsi"/>
          <w:lang w:val="es-MX"/>
        </w:rPr>
        <w:t xml:space="preserve">Sugerir modificaciones que respondan a las necesidades de la población en relación con los proyectos de desarrollos inmobiliarios, y </w:t>
      </w:r>
    </w:p>
    <w:p w:rsidR="00905F5F" w:rsidRPr="003C33D5" w:rsidRDefault="00905F5F" w:rsidP="003C33D5">
      <w:pPr>
        <w:pStyle w:val="Prrafodelista"/>
        <w:numPr>
          <w:ilvl w:val="0"/>
          <w:numId w:val="3"/>
        </w:numPr>
        <w:spacing w:after="0" w:line="240" w:lineRule="auto"/>
        <w:jc w:val="both"/>
        <w:rPr>
          <w:rFonts w:ascii="Barlow Light" w:hAnsi="Barlow Light" w:cstheme="majorHAnsi"/>
          <w:lang w:val="es-MX"/>
        </w:rPr>
      </w:pPr>
      <w:r w:rsidRPr="003C33D5">
        <w:rPr>
          <w:rFonts w:ascii="Barlow Light" w:hAnsi="Barlow Light" w:cstheme="majorHAnsi"/>
          <w:lang w:val="es-MX"/>
        </w:rPr>
        <w:t>Elaborar el reglamento interior del Comité.</w:t>
      </w:r>
    </w:p>
    <w:p w:rsidR="003C33D5" w:rsidRDefault="003C33D5" w:rsidP="003C33D5">
      <w:pPr>
        <w:spacing w:after="0" w:line="240" w:lineRule="auto"/>
        <w:ind w:left="360"/>
        <w:jc w:val="both"/>
        <w:rPr>
          <w:rFonts w:ascii="Barlow Light" w:hAnsi="Barlow Light" w:cstheme="majorHAnsi"/>
          <w:b/>
          <w:lang w:val="es-MX"/>
        </w:rPr>
      </w:pPr>
    </w:p>
    <w:p w:rsidR="00905F5F" w:rsidRPr="003C33D5" w:rsidRDefault="00905F5F"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 xml:space="preserve">Artículo 18.- </w:t>
      </w:r>
      <w:r w:rsidRPr="003C33D5">
        <w:rPr>
          <w:rFonts w:ascii="Barlow Light" w:hAnsi="Barlow Light" w:cstheme="majorHAnsi"/>
          <w:lang w:val="es-MX"/>
        </w:rPr>
        <w:t>El “COMITÉ” podrá recomendar a la DIRECCIÓN que realice la</w:t>
      </w:r>
      <w:r w:rsidR="003C33D5">
        <w:rPr>
          <w:rFonts w:ascii="Barlow Light" w:hAnsi="Barlow Light" w:cstheme="majorHAnsi"/>
          <w:lang w:val="es-MX"/>
        </w:rPr>
        <w:t>s</w:t>
      </w:r>
      <w:r w:rsidRPr="003C33D5">
        <w:rPr>
          <w:rFonts w:ascii="Barlow Light" w:hAnsi="Barlow Light" w:cstheme="majorHAnsi"/>
          <w:lang w:val="es-MX"/>
        </w:rPr>
        <w:t xml:space="preserve"> acciones que acuerden sus integrantes respecto al desempeño o violaciones de la Ley y el Reglamento de Desarrollos Inmobiliarios del Estado de Yucatán, por parte de los DESARROLLOS INMOBILIARIOS.</w:t>
      </w:r>
    </w:p>
    <w:p w:rsidR="003C33D5" w:rsidRDefault="003C33D5" w:rsidP="003C33D5">
      <w:pPr>
        <w:spacing w:after="0" w:line="240" w:lineRule="auto"/>
        <w:ind w:left="360"/>
        <w:jc w:val="center"/>
        <w:rPr>
          <w:rFonts w:ascii="Barlow Light" w:hAnsi="Barlow Light" w:cstheme="majorHAnsi"/>
          <w:b/>
          <w:lang w:val="es-MX"/>
        </w:rPr>
      </w:pPr>
    </w:p>
    <w:p w:rsidR="00905F5F" w:rsidRDefault="00905F5F" w:rsidP="003C33D5">
      <w:pPr>
        <w:spacing w:after="0" w:line="240" w:lineRule="auto"/>
        <w:ind w:left="360"/>
        <w:jc w:val="center"/>
        <w:rPr>
          <w:rFonts w:ascii="Barlow Light" w:hAnsi="Barlow Light" w:cstheme="majorHAnsi"/>
          <w:b/>
          <w:lang w:val="es-MX"/>
        </w:rPr>
      </w:pPr>
      <w:r w:rsidRPr="003C33D5">
        <w:rPr>
          <w:rFonts w:ascii="Barlow Light" w:hAnsi="Barlow Light" w:cstheme="majorHAnsi"/>
          <w:b/>
          <w:lang w:val="es-MX"/>
        </w:rPr>
        <w:t>TRANSITORIOS</w:t>
      </w:r>
    </w:p>
    <w:p w:rsidR="003C33D5" w:rsidRPr="003C33D5" w:rsidRDefault="003C33D5" w:rsidP="003C33D5">
      <w:pPr>
        <w:spacing w:after="0" w:line="240" w:lineRule="auto"/>
        <w:ind w:left="360"/>
        <w:jc w:val="center"/>
        <w:rPr>
          <w:rFonts w:ascii="Barlow Light" w:hAnsi="Barlow Light" w:cstheme="majorHAnsi"/>
          <w:b/>
          <w:lang w:val="es-MX"/>
        </w:rPr>
      </w:pPr>
    </w:p>
    <w:p w:rsidR="00905F5F" w:rsidRPr="003C33D5" w:rsidRDefault="00905F5F" w:rsidP="003C33D5">
      <w:pPr>
        <w:spacing w:after="0" w:line="240" w:lineRule="auto"/>
        <w:ind w:left="360"/>
        <w:jc w:val="both"/>
        <w:rPr>
          <w:rFonts w:ascii="Barlow Light" w:hAnsi="Barlow Light" w:cstheme="majorHAnsi"/>
          <w:lang w:val="es-MX"/>
        </w:rPr>
      </w:pPr>
      <w:r w:rsidRPr="003C33D5">
        <w:rPr>
          <w:rFonts w:ascii="Barlow Light" w:hAnsi="Barlow Light" w:cstheme="majorHAnsi"/>
          <w:b/>
          <w:lang w:val="es-MX"/>
        </w:rPr>
        <w:t>PRIMERO</w:t>
      </w:r>
      <w:r w:rsidR="003C33D5">
        <w:rPr>
          <w:rFonts w:ascii="Barlow Light" w:hAnsi="Barlow Light" w:cstheme="majorHAnsi"/>
          <w:b/>
          <w:lang w:val="es-MX"/>
        </w:rPr>
        <w:t>.-</w:t>
      </w:r>
      <w:r w:rsidRPr="003C33D5">
        <w:rPr>
          <w:rFonts w:ascii="Barlow Light" w:hAnsi="Barlow Light" w:cstheme="majorHAnsi"/>
          <w:b/>
          <w:lang w:val="es-MX"/>
        </w:rPr>
        <w:t xml:space="preserve"> </w:t>
      </w:r>
      <w:r w:rsidRPr="003C33D5">
        <w:rPr>
          <w:rFonts w:ascii="Barlow Light" w:hAnsi="Barlow Light" w:cstheme="majorHAnsi"/>
          <w:lang w:val="es-MX"/>
        </w:rPr>
        <w:t>Este reglamento entrará en vigor el día siguiente de su publicación en la Gaceta Municipal del Ayuntamiento de Mérida.</w:t>
      </w:r>
    </w:p>
    <w:p w:rsidR="00905F5F" w:rsidRPr="003C33D5" w:rsidRDefault="00905F5F" w:rsidP="003C33D5">
      <w:pPr>
        <w:spacing w:after="0" w:line="240" w:lineRule="auto"/>
        <w:ind w:left="360"/>
        <w:jc w:val="both"/>
        <w:rPr>
          <w:rFonts w:ascii="Barlow Light" w:hAnsi="Barlow Light" w:cstheme="majorHAnsi"/>
          <w:lang w:val="es-MX"/>
        </w:rPr>
      </w:pPr>
    </w:p>
    <w:p w:rsidR="00905F5F" w:rsidRPr="00B03B67" w:rsidRDefault="00905F5F" w:rsidP="003C33D5">
      <w:pPr>
        <w:spacing w:after="0" w:line="240" w:lineRule="auto"/>
        <w:ind w:left="360"/>
        <w:jc w:val="both"/>
        <w:rPr>
          <w:rFonts w:ascii="Barlow Light" w:hAnsi="Barlow Light" w:cstheme="majorHAnsi"/>
          <w:b/>
          <w:lang w:val="es-MX"/>
        </w:rPr>
      </w:pPr>
      <w:r w:rsidRPr="00B03B67">
        <w:rPr>
          <w:rFonts w:ascii="Barlow Light" w:hAnsi="Barlow Light" w:cstheme="majorHAnsi"/>
          <w:b/>
          <w:lang w:val="es-MX"/>
        </w:rPr>
        <w:t>DADO EN LA CIUDAD DE MÉRIDA, YUCATÁN A LOS DIECINUEVE DÍAS DEL MES DE DICIEMBRE DE DOS MIL DOCE.</w:t>
      </w:r>
    </w:p>
    <w:p w:rsidR="00B03B67" w:rsidRDefault="00B03B67" w:rsidP="00B03B67">
      <w:pPr>
        <w:spacing w:after="0" w:line="240" w:lineRule="auto"/>
        <w:ind w:left="360"/>
        <w:jc w:val="center"/>
        <w:rPr>
          <w:rFonts w:ascii="Barlow Light" w:hAnsi="Barlow Light" w:cstheme="majorHAnsi"/>
          <w:b/>
          <w:lang w:val="es-MX"/>
        </w:rPr>
      </w:pPr>
    </w:p>
    <w:p w:rsidR="00905F5F" w:rsidRPr="00B03B67" w:rsidRDefault="00905F5F" w:rsidP="00B03B67">
      <w:pPr>
        <w:spacing w:after="0" w:line="240" w:lineRule="auto"/>
        <w:ind w:left="360"/>
        <w:jc w:val="center"/>
        <w:rPr>
          <w:rFonts w:ascii="Barlow Light" w:hAnsi="Barlow Light" w:cstheme="majorHAnsi"/>
          <w:b/>
          <w:lang w:val="es-MX"/>
        </w:rPr>
      </w:pPr>
      <w:bookmarkStart w:id="0" w:name="_GoBack"/>
      <w:bookmarkEnd w:id="0"/>
      <w:r w:rsidRPr="00B03B67">
        <w:rPr>
          <w:rFonts w:ascii="Barlow Light" w:hAnsi="Barlow Light" w:cstheme="majorHAnsi"/>
          <w:b/>
          <w:lang w:val="es-MX"/>
        </w:rPr>
        <w:t>(RÚBRICA)</w:t>
      </w:r>
    </w:p>
    <w:p w:rsidR="00905F5F" w:rsidRPr="003C33D5" w:rsidRDefault="00905F5F" w:rsidP="003C33D5">
      <w:pPr>
        <w:spacing w:after="0" w:line="240" w:lineRule="auto"/>
        <w:jc w:val="both"/>
        <w:rPr>
          <w:rFonts w:ascii="Barlow Light" w:hAnsi="Barlow Light" w:cstheme="majorHAnsi"/>
          <w:lang w:val="es-MX"/>
        </w:rPr>
      </w:pPr>
    </w:p>
    <w:p w:rsidR="00036BE6" w:rsidRPr="003C33D5" w:rsidRDefault="00036BE6" w:rsidP="003C33D5">
      <w:pPr>
        <w:spacing w:after="0" w:line="240" w:lineRule="auto"/>
        <w:ind w:left="360"/>
        <w:jc w:val="both"/>
        <w:rPr>
          <w:rFonts w:ascii="Barlow Light" w:hAnsi="Barlow Light" w:cstheme="majorHAnsi"/>
          <w:lang w:val="es-MX"/>
        </w:rPr>
      </w:pPr>
      <w:r w:rsidRPr="003C33D5">
        <w:rPr>
          <w:rFonts w:ascii="Barlow Light" w:hAnsi="Barlow Light" w:cstheme="majorHAnsi"/>
          <w:lang w:val="es-MX"/>
        </w:rPr>
        <w:t xml:space="preserve"> </w:t>
      </w:r>
    </w:p>
    <w:p w:rsidR="00E40127" w:rsidRPr="003C33D5" w:rsidRDefault="00E40127" w:rsidP="003C33D5">
      <w:pPr>
        <w:spacing w:after="0" w:line="240" w:lineRule="auto"/>
        <w:jc w:val="both"/>
        <w:rPr>
          <w:rFonts w:ascii="Barlow Light" w:hAnsi="Barlow Light" w:cstheme="majorHAnsi"/>
          <w:lang w:val="es-MX"/>
        </w:rPr>
      </w:pPr>
    </w:p>
    <w:p w:rsidR="001278FC" w:rsidRPr="003C33D5" w:rsidRDefault="001278FC" w:rsidP="003C33D5">
      <w:pPr>
        <w:spacing w:after="0" w:line="240" w:lineRule="auto"/>
        <w:jc w:val="both"/>
        <w:rPr>
          <w:rFonts w:ascii="Barlow Light" w:hAnsi="Barlow Light" w:cstheme="majorHAnsi"/>
          <w:lang w:val="es-MX"/>
        </w:rPr>
      </w:pPr>
    </w:p>
    <w:p w:rsidR="001278FC" w:rsidRPr="003C33D5" w:rsidRDefault="001278FC" w:rsidP="003C33D5">
      <w:pPr>
        <w:spacing w:after="0" w:line="240" w:lineRule="auto"/>
        <w:jc w:val="both"/>
        <w:rPr>
          <w:rFonts w:ascii="Barlow Light" w:hAnsi="Barlow Light" w:cstheme="majorHAnsi"/>
          <w:lang w:val="es-MX"/>
        </w:rPr>
      </w:pPr>
    </w:p>
    <w:p w:rsidR="002A79F6" w:rsidRPr="003C33D5" w:rsidRDefault="002A79F6" w:rsidP="003C33D5">
      <w:pPr>
        <w:spacing w:after="0" w:line="240" w:lineRule="auto"/>
        <w:jc w:val="both"/>
        <w:rPr>
          <w:rFonts w:ascii="Barlow Light" w:hAnsi="Barlow Light" w:cstheme="majorHAnsi"/>
          <w:lang w:val="es-MX"/>
        </w:rPr>
      </w:pPr>
    </w:p>
    <w:sectPr w:rsidR="002A79F6" w:rsidRPr="003C33D5" w:rsidSect="003C33D5">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F8" w:rsidRDefault="003205F8" w:rsidP="00DD1869">
      <w:pPr>
        <w:spacing w:after="0" w:line="240" w:lineRule="auto"/>
      </w:pPr>
      <w:r>
        <w:separator/>
      </w:r>
    </w:p>
  </w:endnote>
  <w:endnote w:type="continuationSeparator" w:id="0">
    <w:p w:rsidR="003205F8" w:rsidRDefault="003205F8" w:rsidP="00DD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3030"/>
      <w:docPartObj>
        <w:docPartGallery w:val="Page Numbers (Bottom of Page)"/>
        <w:docPartUnique/>
      </w:docPartObj>
    </w:sdtPr>
    <w:sdtEndPr/>
    <w:sdtContent>
      <w:sdt>
        <w:sdtPr>
          <w:id w:val="-1669238322"/>
          <w:docPartObj>
            <w:docPartGallery w:val="Page Numbers (Top of Page)"/>
            <w:docPartUnique/>
          </w:docPartObj>
        </w:sdtPr>
        <w:sdtEndPr/>
        <w:sdtContent>
          <w:p w:rsidR="003C33D5" w:rsidRDefault="003C33D5">
            <w:pPr>
              <w:pStyle w:val="Piedepgina"/>
              <w:jc w:val="center"/>
            </w:pPr>
          </w:p>
          <w:p w:rsidR="00DD1869" w:rsidRDefault="00DD186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3B67">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3B67">
              <w:rPr>
                <w:b/>
                <w:bCs/>
                <w:noProof/>
              </w:rPr>
              <w:t>4</w:t>
            </w:r>
            <w:r>
              <w:rPr>
                <w:b/>
                <w:bCs/>
                <w:sz w:val="24"/>
                <w:szCs w:val="24"/>
              </w:rPr>
              <w:fldChar w:fldCharType="end"/>
            </w:r>
          </w:p>
        </w:sdtContent>
      </w:sdt>
    </w:sdtContent>
  </w:sdt>
  <w:p w:rsidR="00DD1869" w:rsidRDefault="00DD1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F8" w:rsidRDefault="003205F8" w:rsidP="00DD1869">
      <w:pPr>
        <w:spacing w:after="0" w:line="240" w:lineRule="auto"/>
      </w:pPr>
      <w:r>
        <w:separator/>
      </w:r>
    </w:p>
  </w:footnote>
  <w:footnote w:type="continuationSeparator" w:id="0">
    <w:p w:rsidR="003205F8" w:rsidRDefault="003205F8" w:rsidP="00DD1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67F"/>
    <w:multiLevelType w:val="hybridMultilevel"/>
    <w:tmpl w:val="86EC9804"/>
    <w:lvl w:ilvl="0" w:tplc="6492A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165A"/>
    <w:multiLevelType w:val="hybridMultilevel"/>
    <w:tmpl w:val="7F5ED6E6"/>
    <w:lvl w:ilvl="0" w:tplc="28303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C2164"/>
    <w:multiLevelType w:val="hybridMultilevel"/>
    <w:tmpl w:val="1572F5D2"/>
    <w:lvl w:ilvl="0" w:tplc="1D48C1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F6"/>
    <w:rsid w:val="00036BE6"/>
    <w:rsid w:val="00090807"/>
    <w:rsid w:val="001278FC"/>
    <w:rsid w:val="002A79F6"/>
    <w:rsid w:val="002F3EB6"/>
    <w:rsid w:val="003205F8"/>
    <w:rsid w:val="00320B79"/>
    <w:rsid w:val="003C33D5"/>
    <w:rsid w:val="00555C3A"/>
    <w:rsid w:val="006F100E"/>
    <w:rsid w:val="00811E94"/>
    <w:rsid w:val="008A0F09"/>
    <w:rsid w:val="00905F5F"/>
    <w:rsid w:val="00B03B67"/>
    <w:rsid w:val="00B5706D"/>
    <w:rsid w:val="00D75FC2"/>
    <w:rsid w:val="00DD1869"/>
    <w:rsid w:val="00DD1FB1"/>
    <w:rsid w:val="00E40127"/>
    <w:rsid w:val="00EA0F15"/>
    <w:rsid w:val="00FA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97457-FB12-48F6-9918-7D32A5F5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127"/>
    <w:pPr>
      <w:ind w:left="720"/>
      <w:contextualSpacing/>
    </w:pPr>
  </w:style>
  <w:style w:type="paragraph" w:styleId="Encabezado">
    <w:name w:val="header"/>
    <w:basedOn w:val="Normal"/>
    <w:link w:val="EncabezadoCar"/>
    <w:uiPriority w:val="99"/>
    <w:unhideWhenUsed/>
    <w:rsid w:val="00DD1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869"/>
  </w:style>
  <w:style w:type="paragraph" w:styleId="Piedepgina">
    <w:name w:val="footer"/>
    <w:basedOn w:val="Normal"/>
    <w:link w:val="PiedepginaCar"/>
    <w:uiPriority w:val="99"/>
    <w:unhideWhenUsed/>
    <w:rsid w:val="00DD1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1621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11</cp:revision>
  <dcterms:created xsi:type="dcterms:W3CDTF">2018-11-15T20:07:00Z</dcterms:created>
  <dcterms:modified xsi:type="dcterms:W3CDTF">2019-02-09T16:48:00Z</dcterms:modified>
</cp:coreProperties>
</file>