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A" w:rsidRPr="009767AB" w:rsidRDefault="0073227A" w:rsidP="0073227A">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FD5B89">
        <w:rPr>
          <w:rFonts w:ascii="Arial" w:eastAsia="Cambria" w:hAnsi="Arial" w:cs="Arial"/>
          <w:b/>
          <w:sz w:val="22"/>
          <w:szCs w:val="22"/>
          <w:u w:val="single"/>
        </w:rPr>
        <w:t xml:space="preserve"> AL 30 DE JUNIO 2020</w:t>
      </w:r>
      <w:bookmarkStart w:id="0" w:name="_GoBack"/>
      <w:bookmarkEnd w:id="0"/>
    </w:p>
    <w:p w:rsidR="0073227A" w:rsidRPr="009767AB" w:rsidRDefault="0073227A" w:rsidP="0073227A">
      <w:pPr>
        <w:spacing w:line="213" w:lineRule="auto"/>
        <w:ind w:firstLine="708"/>
        <w:jc w:val="both"/>
        <w:rPr>
          <w:rFonts w:ascii="Arial" w:hAnsi="Arial" w:cs="Arial"/>
          <w:sz w:val="22"/>
          <w:szCs w:val="22"/>
          <w:lang w:val="es-MX" w:eastAsia="es-ES"/>
        </w:rPr>
      </w:pPr>
    </w:p>
    <w:p w:rsidR="0073227A" w:rsidRPr="009767AB" w:rsidRDefault="0073227A" w:rsidP="00CA514B">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73227A" w:rsidRPr="009767AB" w:rsidRDefault="0073227A" w:rsidP="008E5E6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III, inciso g) del Manual de Contabilidad Gubernamental emitido por el CONAC, donde se establece en términos generales que: </w:t>
      </w:r>
    </w:p>
    <w:p w:rsidR="0073227A" w:rsidRPr="009767AB" w:rsidRDefault="0073227A" w:rsidP="008E5E6D">
      <w:pPr>
        <w:spacing w:before="81"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73227A" w:rsidRPr="009767AB" w:rsidRDefault="0073227A" w:rsidP="0073227A">
      <w:pPr>
        <w:spacing w:before="81" w:line="250" w:lineRule="exact"/>
        <w:ind w:firstLine="708"/>
        <w:jc w:val="both"/>
        <w:rPr>
          <w:rFonts w:ascii="Arial" w:hAnsi="Arial" w:cs="Arial"/>
          <w:sz w:val="22"/>
          <w:szCs w:val="22"/>
          <w:lang w:val="es-MX" w:eastAsia="es-ES"/>
        </w:rPr>
      </w:pPr>
    </w:p>
    <w:p w:rsidR="0073227A" w:rsidRPr="009767AB" w:rsidRDefault="0073227A" w:rsidP="0073227A">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5E1221" w:rsidRPr="009767AB" w:rsidRDefault="005E1221" w:rsidP="005E1221">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1.- Del </w:t>
      </w:r>
      <w:r w:rsidRPr="009767AB">
        <w:rPr>
          <w:rFonts w:ascii="Arial" w:hAnsi="Arial" w:cs="Arial"/>
          <w:u w:val="single"/>
          <w:lang w:val="es-MX"/>
        </w:rPr>
        <w:t>Departamento Contencioso de la Subdirección de Asuntos Jurídicos dependiente de la Dirección de Gobernación del H. Ayuntamiento de Mérida, Yucatán</w:t>
      </w:r>
      <w:r w:rsidRPr="009767AB">
        <w:rPr>
          <w:rFonts w:ascii="Arial" w:hAnsi="Arial" w:cs="Arial"/>
          <w:lang w:val="es-MX"/>
        </w:rPr>
        <w:t>, se encuentran los siguientes: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10,388/2001 (Juzgado Segundo Mercantil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b/>
          <w:lang w:val="es-MX"/>
        </w:rPr>
      </w:pPr>
      <w:r w:rsidRPr="009767AB">
        <w:rPr>
          <w:rFonts w:ascii="Arial" w:hAnsi="Arial" w:cs="Arial"/>
          <w:lang w:val="es-MX"/>
        </w:rPr>
        <w:t xml:space="preserve">Juicio Ordinario Civil promovido por las Arq. Wendy Lorena Estrada Magaña y Adriana del Carmen Bobadilla </w:t>
      </w:r>
      <w:proofErr w:type="spellStart"/>
      <w:r w:rsidRPr="009767AB">
        <w:rPr>
          <w:rFonts w:ascii="Arial" w:hAnsi="Arial" w:cs="Arial"/>
          <w:lang w:val="es-MX"/>
        </w:rPr>
        <w:t>Tugores</w:t>
      </w:r>
      <w:proofErr w:type="spellEnd"/>
      <w:r w:rsidRPr="009767AB">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096846" w:rsidRPr="009767AB" w:rsidRDefault="00096846" w:rsidP="00096846">
      <w:pPr>
        <w:pStyle w:val="Sinespaciado"/>
        <w:ind w:left="720"/>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El proceso se está defendiendo arduamente toda vez que la parte actora pretende la cantidad de $8,145,420.00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lastRenderedPageBreak/>
        <w:t>Expediente número 556/2011 (Juzgado Primero Civil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767AB">
        <w:rPr>
          <w:rFonts w:ascii="Arial" w:hAnsi="Arial" w:cs="Arial"/>
          <w:lang w:val="es-MX"/>
        </w:rPr>
        <w:t>Navashow</w:t>
      </w:r>
      <w:proofErr w:type="spellEnd"/>
      <w:r w:rsidRPr="009767AB">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El pago de la cantidad aproximada de $7</w:t>
      </w:r>
      <w:proofErr w:type="gramStart"/>
      <w:r w:rsidRPr="009767AB">
        <w:rPr>
          <w:rFonts w:ascii="Arial" w:hAnsi="Arial" w:cs="Arial"/>
          <w:lang w:val="es-MX"/>
        </w:rPr>
        <w:t>,000,000.00</w:t>
      </w:r>
      <w:proofErr w:type="gramEnd"/>
      <w:r w:rsidRPr="009767AB">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9767AB">
        <w:rPr>
          <w:rFonts w:ascii="Arial" w:hAnsi="Arial" w:cs="Arial"/>
          <w:lang w:val="es-MX"/>
        </w:rPr>
        <w:t>Navashow</w:t>
      </w:r>
      <w:proofErr w:type="spellEnd"/>
      <w:r w:rsidRPr="009767AB">
        <w:rPr>
          <w:rFonts w:ascii="Arial" w:hAnsi="Arial" w:cs="Arial"/>
          <w:lang w:val="es-MX"/>
        </w:rPr>
        <w:t>.</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xml:space="preserve">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9767AB">
        <w:rPr>
          <w:rFonts w:ascii="Arial" w:hAnsi="Arial" w:cs="Arial"/>
          <w:lang w:val="es-MX"/>
        </w:rPr>
        <w:t>Navashow</w:t>
      </w:r>
      <w:proofErr w:type="spellEnd"/>
      <w:r w:rsidRPr="009767AB">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893/2013 (Juzgado Primero Civil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9767AB">
        <w:rPr>
          <w:rFonts w:ascii="Arial" w:hAnsi="Arial" w:cs="Arial"/>
          <w:lang w:val="es-MX"/>
        </w:rPr>
        <w:t>Siva</w:t>
      </w:r>
      <w:proofErr w:type="spellEnd"/>
      <w:r w:rsidRPr="009767AB">
        <w:rPr>
          <w:rFonts w:ascii="Arial" w:hAnsi="Arial" w:cs="Arial"/>
          <w:lang w:val="es-MX"/>
        </w:rPr>
        <w:t xml:space="preserve">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La indemnización en dinero aproximadamente por la cantidad de $10</w:t>
      </w:r>
      <w:proofErr w:type="gramStart"/>
      <w:r w:rsidRPr="009767AB">
        <w:rPr>
          <w:rFonts w:ascii="Arial" w:hAnsi="Arial" w:cs="Arial"/>
          <w:lang w:val="es-MX"/>
        </w:rPr>
        <w:t>,000,000.00</w:t>
      </w:r>
      <w:proofErr w:type="gramEnd"/>
      <w:r w:rsidRPr="009767AB">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9767AB">
        <w:rPr>
          <w:rFonts w:ascii="Arial" w:hAnsi="Arial" w:cs="Arial"/>
          <w:lang w:val="es-MX"/>
        </w:rPr>
        <w:lastRenderedPageBreak/>
        <w:t>Ayuntamiento de Mérida, por lo que se considera poco probable la procedencia de la presente acción.</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277/2012 (Juzgado Tercero Civil del Primer Departamento Judicial del Estado)</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jc w:val="both"/>
        <w:rPr>
          <w:rFonts w:ascii="Arial" w:hAnsi="Arial" w:cs="Arial"/>
          <w:b/>
          <w:lang w:val="es-MX"/>
        </w:rPr>
      </w:pPr>
      <w:r w:rsidRPr="009767AB">
        <w:rPr>
          <w:rFonts w:ascii="Arial" w:hAnsi="Arial" w:cs="Arial"/>
          <w:lang w:val="es-MX"/>
        </w:rPr>
        <w:t>Juicio Ordinario Civil promovido por María Cristina Pech Sierra en contra del Ministerio Público dependiente de la Fiscalía General del Estado de Yucatán y H. Ayuntamiento de Mérida.</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Prrafodelista"/>
        <w:numPr>
          <w:ilvl w:val="0"/>
          <w:numId w:val="1"/>
        </w:numPr>
        <w:jc w:val="both"/>
        <w:rPr>
          <w:rFonts w:ascii="Arial" w:hAnsi="Arial" w:cs="Arial"/>
          <w:b/>
        </w:rPr>
      </w:pPr>
      <w:r w:rsidRPr="009767AB">
        <w:rPr>
          <w:rFonts w:ascii="Arial" w:hAnsi="Arial" w:cs="Arial"/>
          <w:b/>
        </w:rPr>
        <w:t>Expediente número 56/2017 (Juzgado Tercero Civil del Primer Departamento Judicial del Estado)</w:t>
      </w:r>
    </w:p>
    <w:p w:rsidR="00096846" w:rsidRPr="009767AB" w:rsidRDefault="00096846" w:rsidP="00096846">
      <w:pPr>
        <w:pStyle w:val="Sinespaciado"/>
        <w:jc w:val="both"/>
        <w:rPr>
          <w:rFonts w:ascii="Arial" w:hAnsi="Arial" w:cs="Arial"/>
          <w:b/>
        </w:rPr>
      </w:pPr>
      <w:r w:rsidRPr="009767AB">
        <w:rPr>
          <w:rFonts w:ascii="Arial" w:hAnsi="Arial" w:cs="Arial"/>
        </w:rPr>
        <w:t>Juicio Ordinario Civil promovido por  Ignacio Rafael Molina Zaldívar, alias Ignacio Molina, en contra del Ayuntamiento de Mérida, la Dirección de Obras Públicas del  H. Ayuntamiento de Mérida, Mauricio Vila Dosal y Virgilio Augusto Crespo Méndez.</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u w:val="single"/>
        </w:rPr>
        <w:t>Estado procesal actual.-</w:t>
      </w:r>
      <w:r w:rsidRPr="009767AB">
        <w:rPr>
          <w:rFonts w:ascii="Arial" w:hAnsi="Arial" w:cs="Arial"/>
        </w:rPr>
        <w:t xml:space="preserve"> Desahogo de Pruebas.</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096846" w:rsidRPr="009767AB" w:rsidRDefault="00096846" w:rsidP="00096846">
      <w:pPr>
        <w:jc w:val="both"/>
        <w:rPr>
          <w:rFonts w:ascii="Arial" w:hAnsi="Arial" w:cs="Arial"/>
          <w:sz w:val="22"/>
          <w:szCs w:val="22"/>
          <w:lang w:val="es-ES"/>
        </w:rPr>
      </w:pPr>
    </w:p>
    <w:p w:rsidR="00096846" w:rsidRPr="009767AB" w:rsidRDefault="00096846" w:rsidP="00096846">
      <w:pPr>
        <w:pStyle w:val="Prrafodelista"/>
        <w:numPr>
          <w:ilvl w:val="0"/>
          <w:numId w:val="1"/>
        </w:numPr>
        <w:jc w:val="both"/>
        <w:rPr>
          <w:rFonts w:ascii="Arial" w:hAnsi="Arial" w:cs="Arial"/>
          <w:lang w:val="es-ES"/>
        </w:rPr>
      </w:pPr>
      <w:r w:rsidRPr="009767AB">
        <w:rPr>
          <w:rFonts w:ascii="Arial" w:hAnsi="Arial" w:cs="Arial"/>
          <w:b/>
          <w:lang w:val="es-ES"/>
        </w:rPr>
        <w:t>Expediente número 585/2017 (Juzgado Primero Civil del Primer Departamento Judicial del Estado)</w:t>
      </w: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u w:val="single"/>
          <w:lang w:val="es-ES"/>
        </w:rPr>
        <w:t>Prestación Reclamada.-</w:t>
      </w:r>
      <w:r w:rsidRPr="009767AB">
        <w:rPr>
          <w:rFonts w:ascii="Arial" w:hAnsi="Arial" w:cs="Arial"/>
          <w:sz w:val="22"/>
          <w:szCs w:val="22"/>
          <w:lang w:val="es-ES"/>
        </w:rPr>
        <w:t xml:space="preserve"> El pago de la cantidad de $8</w:t>
      </w:r>
      <w:proofErr w:type="gramStart"/>
      <w:r w:rsidRPr="009767AB">
        <w:rPr>
          <w:rFonts w:ascii="Arial" w:hAnsi="Arial" w:cs="Arial"/>
          <w:sz w:val="22"/>
          <w:szCs w:val="22"/>
          <w:lang w:val="es-ES"/>
        </w:rPr>
        <w:t>,161,677.18</w:t>
      </w:r>
      <w:proofErr w:type="gramEnd"/>
      <w:r w:rsidRPr="009767AB">
        <w:rPr>
          <w:rFonts w:ascii="Arial" w:hAnsi="Arial" w:cs="Arial"/>
          <w:sz w:val="22"/>
          <w:szCs w:val="22"/>
          <w:lang w:val="es-ES"/>
        </w:rPr>
        <w:t xml:space="preserve">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u w:val="single"/>
          <w:lang w:val="es-ES"/>
        </w:rPr>
        <w:t>Estado procesal actual.-</w:t>
      </w:r>
      <w:r w:rsidRPr="009767AB">
        <w:rPr>
          <w:rFonts w:ascii="Arial" w:hAnsi="Arial" w:cs="Arial"/>
          <w:sz w:val="22"/>
          <w:szCs w:val="22"/>
          <w:lang w:val="es-ES"/>
        </w:rPr>
        <w:t xml:space="preserve"> Recurso de apelación en contra de la sentencia definitiva la cual declara improcedente el Juicio de referencia.</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096846" w:rsidRPr="009767AB" w:rsidRDefault="00096846" w:rsidP="00096846">
      <w:pPr>
        <w:jc w:val="both"/>
        <w:rPr>
          <w:rFonts w:ascii="Arial" w:hAnsi="Arial" w:cs="Arial"/>
          <w:sz w:val="22"/>
          <w:szCs w:val="22"/>
          <w:lang w:val="es-ES"/>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096846" w:rsidRPr="009767AB" w:rsidRDefault="00096846" w:rsidP="00096846">
      <w:pPr>
        <w:pStyle w:val="Sinespaciado"/>
        <w:jc w:val="both"/>
        <w:rPr>
          <w:rFonts w:ascii="Arial" w:hAnsi="Arial" w:cs="Arial"/>
        </w:rPr>
      </w:pPr>
    </w:p>
    <w:p w:rsidR="00096846" w:rsidRPr="009767AB" w:rsidRDefault="00096846" w:rsidP="0009684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096846" w:rsidRPr="009767AB" w:rsidRDefault="00096846" w:rsidP="00096846">
      <w:pPr>
        <w:pStyle w:val="Sinespaciado"/>
        <w:jc w:val="both"/>
        <w:rPr>
          <w:rFonts w:ascii="Arial" w:hAnsi="Arial" w:cs="Arial"/>
        </w:rPr>
      </w:pPr>
    </w:p>
    <w:p w:rsidR="00096846" w:rsidRPr="009767AB" w:rsidRDefault="00096846" w:rsidP="0009684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19 de febrero de 2019, se verificó la audiencia de pruebas y alegatos.</w:t>
      </w:r>
    </w:p>
    <w:p w:rsidR="00096846" w:rsidRPr="009767AB" w:rsidRDefault="00096846" w:rsidP="00096846">
      <w:pPr>
        <w:jc w:val="both"/>
        <w:rPr>
          <w:rFonts w:ascii="Arial" w:hAnsi="Arial" w:cs="Arial"/>
          <w:sz w:val="22"/>
          <w:szCs w:val="22"/>
        </w:rPr>
      </w:pPr>
    </w:p>
    <w:p w:rsidR="00096846" w:rsidRPr="009767AB" w:rsidRDefault="00096846" w:rsidP="00096846">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$7,253,659.00 (Siete millones doscientos cincuenta y tres mil seiscientos cincuenta y nueve pesos 00/100 M.N.) misma que constituye el monto del valor catastral de la vialidad ya citada.</w:t>
      </w:r>
    </w:p>
    <w:p w:rsidR="00096846" w:rsidRPr="009767AB" w:rsidRDefault="00096846" w:rsidP="00096846">
      <w:pPr>
        <w:jc w:val="both"/>
        <w:rPr>
          <w:rFonts w:ascii="Arial" w:hAnsi="Arial" w:cs="Arial"/>
          <w:sz w:val="22"/>
          <w:szCs w:val="22"/>
        </w:rPr>
      </w:pPr>
    </w:p>
    <w:p w:rsidR="00096846" w:rsidRPr="009767AB" w:rsidRDefault="00096846" w:rsidP="00096846">
      <w:pPr>
        <w:pStyle w:val="Prrafodelista"/>
        <w:numPr>
          <w:ilvl w:val="0"/>
          <w:numId w:val="4"/>
        </w:numPr>
        <w:ind w:left="502"/>
        <w:rPr>
          <w:rFonts w:ascii="Arial" w:hAnsi="Arial" w:cs="Arial"/>
          <w:b/>
          <w:spacing w:val="20"/>
          <w:lang w:val="es-ES" w:eastAsia="es-ES"/>
        </w:rPr>
      </w:pPr>
      <w:r w:rsidRPr="009767AB">
        <w:rPr>
          <w:rFonts w:ascii="Arial" w:hAnsi="Arial" w:cs="Arial"/>
          <w:b/>
          <w:spacing w:val="20"/>
          <w:lang w:val="es-ES" w:eastAsia="es-ES"/>
        </w:rPr>
        <w:t>Juicio de luminarias.</w:t>
      </w:r>
    </w:p>
    <w:p w:rsidR="00096846" w:rsidRPr="009767AB" w:rsidRDefault="00096846" w:rsidP="00096846">
      <w:pPr>
        <w:ind w:left="567"/>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096846" w:rsidRPr="009767AB" w:rsidRDefault="00096846" w:rsidP="00096846">
      <w:pPr>
        <w:ind w:left="567"/>
        <w:rPr>
          <w:rFonts w:ascii="Arial" w:eastAsia="Calibri" w:hAnsi="Arial" w:cs="Arial"/>
          <w:sz w:val="22"/>
          <w:szCs w:val="22"/>
          <w:u w:val="single"/>
        </w:rPr>
      </w:pPr>
    </w:p>
    <w:p w:rsidR="00096846" w:rsidRPr="009767AB" w:rsidRDefault="00096846" w:rsidP="00096846">
      <w:pPr>
        <w:pStyle w:val="Sinespaciado"/>
        <w:ind w:left="567"/>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096846" w:rsidRPr="009767AB" w:rsidRDefault="00096846" w:rsidP="00096846">
      <w:pPr>
        <w:pStyle w:val="Sinespaciado"/>
        <w:jc w:val="both"/>
        <w:rPr>
          <w:rFonts w:ascii="Arial" w:hAnsi="Arial" w:cs="Arial"/>
        </w:rPr>
      </w:pPr>
      <w:r w:rsidRPr="009767AB">
        <w:rPr>
          <w:rFonts w:ascii="Arial" w:hAnsi="Arial" w:cs="Arial"/>
        </w:rPr>
        <w:t xml:space="preserve"> </w:t>
      </w:r>
    </w:p>
    <w:p w:rsidR="00096846" w:rsidRPr="009767AB" w:rsidRDefault="00096846" w:rsidP="00096846">
      <w:pPr>
        <w:pStyle w:val="Sinespaciado"/>
        <w:ind w:left="567"/>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096846" w:rsidRPr="009767AB" w:rsidRDefault="00096846" w:rsidP="00096846">
      <w:pPr>
        <w:pStyle w:val="Sinespaciado"/>
        <w:ind w:left="567"/>
        <w:jc w:val="both"/>
        <w:rPr>
          <w:rFonts w:ascii="Arial" w:eastAsiaTheme="minorHAnsi"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w:t>
      </w:r>
      <w:r w:rsidRPr="009767AB">
        <w:rPr>
          <w:rFonts w:ascii="Arial" w:hAnsi="Arial" w:cs="Arial"/>
        </w:rPr>
        <w:lastRenderedPageBreak/>
        <w:t>para su estudio al Ministro Jorge Mario Pardo Rebolledo, integrante de la Primera Sala.</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El monto a pagar en su caso sería de aproximadamente $250,000,000.00 (Doscientos cincuenta millones de pesos 00/100 M.N.), no se omite manifestar que hasta la presente fecha en el expediente en que se actúa no se ha presentado la planilla de liquidación correspondiente por parte de la actora, en el procedimiento de ejecución.</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Por parte del Ayuntamiento de Mérida se promovió Juicio de Amparo Indirecto con número de expediente 65/2019, que se tramita ante el Tribunal Unitario en Materia Civil, Administrativa y Especializada, en contra del pago de la cantidad de $588,761,081.17 (Quinientos ochenta y ocho millones setecientos sesenta y un mil ochenta y uno pesos 17/100 M.N.) concediéndose suspensión definitiva para el efecto de que se efectué nuevamente la planilla de liquidación. </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 </w:t>
      </w:r>
    </w:p>
    <w:p w:rsidR="00096846" w:rsidRPr="009767AB" w:rsidRDefault="00096846" w:rsidP="00096846">
      <w:pPr>
        <w:pStyle w:val="Sinespaciado"/>
        <w:ind w:left="567"/>
        <w:jc w:val="both"/>
        <w:rPr>
          <w:rFonts w:ascii="Arial" w:hAnsi="Arial" w:cs="Arial"/>
        </w:rPr>
      </w:pPr>
      <w:r w:rsidRPr="009767AB">
        <w:rPr>
          <w:rFonts w:ascii="Arial" w:hAnsi="Arial" w:cs="Arial"/>
        </w:rPr>
        <w:t>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877/2019 radicado en el Juzgado Quinto de Distrito del Décimo Cuarto Circuito. El Ayuntamiento de Mérida interpuso Recurso de Reclamación en contra del auto que desecho al citado Recurso de Revisión mismo que se encuentra pendiente de resolver.</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Agrario, promovido por representantes del comisariado ejidal de Chuburná, en contra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Chuburná del tablaje catastral número 362118.</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 xml:space="preserve">Estado Procesal Actual.- </w:t>
      </w:r>
      <w:r w:rsidRPr="009767AB">
        <w:rPr>
          <w:rFonts w:ascii="Arial" w:hAnsi="Arial" w:cs="Arial"/>
        </w:rPr>
        <w:t>Con fecha 04 de febrero del año 2020 se compareció a la Audiencia de Ley, misma que se difirió, fijándose nueva fecha el día 19 de mayo del año 2020 a las 12:00 horas.</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 xml:space="preserve">Estado Procesal Actual.- </w:t>
      </w:r>
      <w:r w:rsidRPr="009767AB">
        <w:rPr>
          <w:rFonts w:ascii="Arial" w:hAnsi="Arial" w:cs="Arial"/>
        </w:rPr>
        <w:t>Se realizó el emplazamiento del juicio, y se encuentra pendiente la audiencia de ley que tendrá verificativo el 12 de marzo de 2020.</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5E1221" w:rsidRPr="009767AB" w:rsidRDefault="005E1221" w:rsidP="005E1221">
      <w:pPr>
        <w:pStyle w:val="Sinespaciado"/>
        <w:jc w:val="both"/>
        <w:rPr>
          <w:rFonts w:ascii="Arial" w:hAnsi="Arial" w:cs="Arial"/>
          <w:lang w:val="es-MX"/>
        </w:rPr>
      </w:pPr>
      <w:r w:rsidRPr="009767AB">
        <w:rPr>
          <w:rFonts w:ascii="Arial" w:hAnsi="Arial" w:cs="Arial"/>
          <w:lang w:val="es-MX"/>
        </w:rPr>
        <w:t xml:space="preserve"> </w:t>
      </w:r>
    </w:p>
    <w:p w:rsidR="003F0AA5" w:rsidRPr="009767AB" w:rsidRDefault="003F0AA5" w:rsidP="003F0AA5">
      <w:pPr>
        <w:pStyle w:val="Sinespaciado"/>
        <w:jc w:val="both"/>
        <w:rPr>
          <w:rFonts w:ascii="Arial" w:hAnsi="Arial" w:cs="Arial"/>
          <w:b/>
          <w:lang w:val="es-MX"/>
        </w:rPr>
      </w:pPr>
    </w:p>
    <w:p w:rsidR="003F0AA5" w:rsidRPr="009767AB" w:rsidRDefault="003F0AA5" w:rsidP="003F0AA5">
      <w:pPr>
        <w:pStyle w:val="Sinespaciado"/>
        <w:jc w:val="both"/>
        <w:rPr>
          <w:rFonts w:ascii="Arial" w:hAnsi="Arial" w:cs="Arial"/>
          <w:lang w:val="es-MX"/>
        </w:rPr>
      </w:pPr>
    </w:p>
    <w:sectPr w:rsidR="003F0AA5" w:rsidRPr="009767AB" w:rsidSect="00370C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9F" w:rsidRDefault="0059249F" w:rsidP="005E1221">
      <w:r>
        <w:separator/>
      </w:r>
    </w:p>
  </w:endnote>
  <w:endnote w:type="continuationSeparator" w:id="0">
    <w:p w:rsidR="0059249F" w:rsidRDefault="0059249F"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extent cx="5612130" cy="675005"/>
          <wp:effectExtent l="0" t="0" r="7620" b="0"/>
          <wp:docPr id="4" name="Imagen 4"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9F" w:rsidRDefault="0059249F" w:rsidP="005E1221">
      <w:r>
        <w:separator/>
      </w:r>
    </w:p>
  </w:footnote>
  <w:footnote w:type="continuationSeparator" w:id="0">
    <w:p w:rsidR="0059249F" w:rsidRDefault="0059249F"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extent cx="2852791" cy="939800"/>
          <wp:effectExtent l="0" t="0" r="5080" b="0"/>
          <wp:docPr id="2" name="Imagen 2"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1221"/>
    <w:rsid w:val="000356D2"/>
    <w:rsid w:val="00042CD0"/>
    <w:rsid w:val="00062760"/>
    <w:rsid w:val="000855D9"/>
    <w:rsid w:val="00096846"/>
    <w:rsid w:val="001327E6"/>
    <w:rsid w:val="00162F0D"/>
    <w:rsid w:val="001C1704"/>
    <w:rsid w:val="001D6511"/>
    <w:rsid w:val="00206A67"/>
    <w:rsid w:val="002C5FC7"/>
    <w:rsid w:val="002F77B6"/>
    <w:rsid w:val="003129D7"/>
    <w:rsid w:val="003171AC"/>
    <w:rsid w:val="00331097"/>
    <w:rsid w:val="003522FD"/>
    <w:rsid w:val="00370CB3"/>
    <w:rsid w:val="003A602C"/>
    <w:rsid w:val="003F0AA5"/>
    <w:rsid w:val="00423317"/>
    <w:rsid w:val="0058479A"/>
    <w:rsid w:val="00587AF1"/>
    <w:rsid w:val="0059249F"/>
    <w:rsid w:val="00597185"/>
    <w:rsid w:val="00597D38"/>
    <w:rsid w:val="005E1221"/>
    <w:rsid w:val="006201F9"/>
    <w:rsid w:val="00645F63"/>
    <w:rsid w:val="00667944"/>
    <w:rsid w:val="006909CD"/>
    <w:rsid w:val="00694CFF"/>
    <w:rsid w:val="006E6E79"/>
    <w:rsid w:val="0073227A"/>
    <w:rsid w:val="007401BB"/>
    <w:rsid w:val="00750D97"/>
    <w:rsid w:val="007719E5"/>
    <w:rsid w:val="008A24C4"/>
    <w:rsid w:val="008B11A1"/>
    <w:rsid w:val="008E5E6D"/>
    <w:rsid w:val="00947746"/>
    <w:rsid w:val="009767AB"/>
    <w:rsid w:val="009B0F76"/>
    <w:rsid w:val="00A13084"/>
    <w:rsid w:val="00A92021"/>
    <w:rsid w:val="00AA5267"/>
    <w:rsid w:val="00AE78BF"/>
    <w:rsid w:val="00B94E90"/>
    <w:rsid w:val="00BD2378"/>
    <w:rsid w:val="00C0292C"/>
    <w:rsid w:val="00C245ED"/>
    <w:rsid w:val="00C63933"/>
    <w:rsid w:val="00C82E30"/>
    <w:rsid w:val="00CA514B"/>
    <w:rsid w:val="00CD3D0B"/>
    <w:rsid w:val="00CD5322"/>
    <w:rsid w:val="00D30A02"/>
    <w:rsid w:val="00D634CA"/>
    <w:rsid w:val="00DE2DB2"/>
    <w:rsid w:val="00E17F6B"/>
    <w:rsid w:val="00E36E8F"/>
    <w:rsid w:val="00E44DAB"/>
    <w:rsid w:val="00EA3D8E"/>
    <w:rsid w:val="00EF573A"/>
    <w:rsid w:val="00F14156"/>
    <w:rsid w:val="00F3278E"/>
    <w:rsid w:val="00F825CB"/>
    <w:rsid w:val="00FD5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2708</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TotuWare Team</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Cauich Aguilar Maritere</dc:creator>
  <cp:lastModifiedBy>Chale Cuytun Gilberto</cp:lastModifiedBy>
  <cp:revision>3</cp:revision>
  <cp:lastPrinted>2020-04-06T21:40:00Z</cp:lastPrinted>
  <dcterms:created xsi:type="dcterms:W3CDTF">2020-07-05T23:12:00Z</dcterms:created>
  <dcterms:modified xsi:type="dcterms:W3CDTF">2020-07-08T20:04:00Z</dcterms:modified>
</cp:coreProperties>
</file>